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7778" w14:paraId="6D790416" w14:textId="77777777" w:rsidTr="00167778">
        <w:trPr>
          <w:tblCellSpacing w:w="0" w:type="dxa"/>
          <w:jc w:val="center"/>
        </w:trPr>
        <w:tc>
          <w:tcPr>
            <w:tcW w:w="0" w:type="auto"/>
            <w:shd w:val="clear" w:color="auto" w:fill="FFFFFE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7778" w14:paraId="4A643E3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7778" w14:paraId="5E78E237" w14:textId="77777777">
                    <w:trPr>
                      <w:trHeight w:val="2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1B2B4E"/>
                        <w:vAlign w:val="center"/>
                        <w:hideMark/>
                      </w:tcPr>
                      <w:p w14:paraId="0EAB58C3" w14:textId="77777777" w:rsidR="00167778" w:rsidRDefault="0016777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67778" w14:paraId="210B08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8B4CB8" w14:textId="384E7BE2" w:rsidR="00167778" w:rsidRDefault="0016777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FFFFFF"/>
                            <w:bdr w:val="none" w:sz="0" w:space="0" w:color="auto" w:frame="1"/>
                          </w:rPr>
                          <w:drawing>
                            <wp:inline distT="0" distB="0" distL="0" distR="0" wp14:anchorId="60D43044" wp14:editId="0A85565A">
                              <wp:extent cx="5715000" cy="2190750"/>
                              <wp:effectExtent l="0" t="0" r="0" b="0"/>
                              <wp:docPr id="8" name="Picture 8" descr="West_One_Email_Headers-01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West_One_Email_Headers-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F533381" w14:textId="77777777" w:rsidR="00167778" w:rsidRDefault="00167778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7778" w14:paraId="52F31FF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14:paraId="75EBBD7E" w14:textId="77777777" w:rsidR="00167778" w:rsidRDefault="00167778">
                        <w:pPr>
                          <w:pStyle w:val="NormalWeb"/>
                          <w:spacing w:after="240"/>
                          <w:jc w:val="center"/>
                          <w:rPr>
                            <w:rFonts w:ascii="Arial" w:hAnsi="Arial" w:cs="Arial"/>
                            <w:color w:val="1B2B4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1B2B4E"/>
                            <w:sz w:val="12"/>
                            <w:szCs w:val="12"/>
                          </w:rPr>
                          <w:t> </w:t>
                        </w:r>
                      </w:p>
                      <w:p w14:paraId="6FD17E9C" w14:textId="6F819ADE" w:rsidR="00167778" w:rsidRDefault="00167778">
                        <w:pPr>
                          <w:pStyle w:val="NormalWeb"/>
                          <w:spacing w:after="240"/>
                          <w:jc w:val="center"/>
                          <w:rPr>
                            <w:rFonts w:ascii="Arial" w:hAnsi="Arial" w:cs="Arial"/>
                            <w:color w:val="1B2B4E"/>
                            <w:sz w:val="53"/>
                            <w:szCs w:val="53"/>
                          </w:rPr>
                        </w:pPr>
                        <w:r>
                          <w:rPr>
                            <w:rFonts w:ascii="Arial" w:hAnsi="Arial" w:cs="Arial"/>
                            <w:color w:val="1B2B4E"/>
                            <w:sz w:val="53"/>
                            <w:szCs w:val="53"/>
                          </w:rPr>
                          <w:t xml:space="preserve">Important Product </w:t>
                        </w:r>
                        <w:r w:rsidR="0008120A">
                          <w:rPr>
                            <w:rFonts w:ascii="Arial" w:hAnsi="Arial" w:cs="Arial"/>
                            <w:color w:val="1B2B4E"/>
                            <w:sz w:val="53"/>
                            <w:szCs w:val="53"/>
                          </w:rPr>
                          <w:t xml:space="preserve">&amp; Criteria </w:t>
                        </w:r>
                        <w:r>
                          <w:rPr>
                            <w:rFonts w:ascii="Arial" w:hAnsi="Arial" w:cs="Arial"/>
                            <w:color w:val="1B2B4E"/>
                            <w:sz w:val="53"/>
                            <w:szCs w:val="53"/>
                          </w:rPr>
                          <w:t>Changes</w:t>
                        </w:r>
                      </w:p>
                    </w:tc>
                  </w:tr>
                </w:tbl>
                <w:p w14:paraId="541EBD05" w14:textId="77777777" w:rsidR="00167778" w:rsidRDefault="00167778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7778" w14:paraId="4270CF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14:paraId="3A4644AE" w14:textId="77777777" w:rsidR="00167778" w:rsidRDefault="00167778">
                        <w:pPr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> </w:t>
                        </w:r>
                      </w:p>
                      <w:p w14:paraId="07243E5C" w14:textId="5A3BC0C6" w:rsidR="00167778" w:rsidRDefault="00167778">
                        <w:pPr>
                          <w:jc w:val="both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 xml:space="preserve">We have some exciting news about changes to our </w:t>
                        </w:r>
                        <w:r w:rsidR="0008120A"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 xml:space="preserve">product pricing and </w:t>
                        </w:r>
                        <w:r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 xml:space="preserve">credit criteria product ranges available from </w:t>
                        </w:r>
                        <w:r w:rsidR="0008120A"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>th January 2022. The revised product range will be available for selection on our broker portal from this date.</w:t>
                        </w:r>
                      </w:p>
                      <w:p w14:paraId="147908D2" w14:textId="77777777" w:rsidR="00167778" w:rsidRDefault="00167778">
                        <w:pPr>
                          <w:jc w:val="both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Arial"/>
                            <w:color w:val="29235C"/>
                            <w:sz w:val="24"/>
                            <w:szCs w:val="24"/>
                          </w:rPr>
                          <w:t> </w:t>
                        </w:r>
                      </w:p>
                      <w:p w14:paraId="6F504ED2" w14:textId="5D953B9C" w:rsidR="00167778" w:rsidRDefault="00167778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A summary of the changes is noted below:</w:t>
                        </w:r>
                      </w:p>
                      <w:p w14:paraId="411CA6BD" w14:textId="0C64A8EA" w:rsidR="0008120A" w:rsidRDefault="0008120A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08120A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Product changes</w:t>
                        </w:r>
                      </w:p>
                      <w:p w14:paraId="41C5ED4D" w14:textId="1C14879D" w:rsidR="00883404" w:rsidRPr="00143409" w:rsidRDefault="0099586F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A new 75% LTV limited edition,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5-year fixed payrate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, 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£200k -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£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1m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max loan size product being added to our Standard W1 range 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w</w:t>
                        </w:r>
                        <w:r w:rsidR="008D20D2" w:rsidRP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ith 3 loans maximum per applicant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–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priced at 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2.99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%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with a 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1.5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% fee. </w:t>
                        </w:r>
                      </w:p>
                      <w:p w14:paraId="55B6857C" w14:textId="057AAE37" w:rsidR="00883404" w:rsidRPr="00143409" w:rsidRDefault="00883404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A new 75% LTV Small HMO limited edition,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5-year fixed payrate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£750k max loan size product being added to our Specialist W1 range –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priced at 3.29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%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with a 1.75% fee. </w:t>
                        </w:r>
                      </w:p>
                      <w:p w14:paraId="7EB66535" w14:textId="176F305C" w:rsidR="00883404" w:rsidRPr="00143409" w:rsidRDefault="00883404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A new 75% LTV Large HMO limited edition,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5-year fixed payrate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£200k min loan size product being added to our Specialist W1 range –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priced at 3.74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%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with a 1.75% fee. </w:t>
                        </w:r>
                      </w:p>
                      <w:p w14:paraId="07483187" w14:textId="77777777" w:rsidR="00143409" w:rsidRPr="00143409" w:rsidRDefault="00883404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Reduced pricing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on selected W1 standard range by up to 10 basis points – rates start from </w:t>
                        </w:r>
                        <w:r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2.99% with 1.5% fee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.</w:t>
                        </w:r>
                      </w:p>
                      <w:p w14:paraId="6A4A9FB6" w14:textId="77777777" w:rsidR="00143409" w:rsidRDefault="0099586F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Reduced pricing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on selected W1 (Specialist HMO/MUB) range by up to 1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5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basis points – rates start from </w:t>
                        </w:r>
                        <w:r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3.</w:t>
                        </w:r>
                        <w:r w:rsidR="00883404"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3</w:t>
                        </w:r>
                        <w:r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4% with 1.5% fee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.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br/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br/>
                          <w:t xml:space="preserve">• 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Reduced pricing 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on our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80% LTV Products on our W1 Standard Range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</w:t>
                        </w:r>
                        <w:r w:rsidR="00883404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with r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ates start</w:t>
                        </w:r>
                        <w:r w:rsidR="00872B37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ing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from </w:t>
                        </w:r>
                        <w:r w:rsidR="00872B37"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3.89</w:t>
                        </w:r>
                        <w:r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% with 1.5% fee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. </w:t>
                        </w:r>
                      </w:p>
                      <w:p w14:paraId="27738A7C" w14:textId="2F474A9F" w:rsidR="00872B37" w:rsidRPr="002A5E38" w:rsidRDefault="0099586F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br/>
                          <w:t>• Short Term Let and Expat Products –</w:t>
                        </w:r>
                        <w:r w:rsidR="00872B37"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</w:t>
                        </w:r>
                        <w:r w:rsidR="00872B37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reduced pricing by up to 15bps</w:t>
                        </w:r>
                        <w:r w:rsidR="003520B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, short </w:t>
                        </w:r>
                        <w:r w:rsidR="003520B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lastRenderedPageBreak/>
                          <w:t xml:space="preserve">term lets rate now 3.94% with 2% fee, Expat price starting from </w:t>
                        </w:r>
                        <w:r w:rsidR="003520BA"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3.64% with a 2% fee.</w:t>
                        </w:r>
                      </w:p>
                      <w:p w14:paraId="5A707E31" w14:textId="22F350AA" w:rsidR="00872B37" w:rsidRPr="002A5E38" w:rsidRDefault="00872B37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A new 65% LTV Expat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5-year fixed payrate product priced at </w:t>
                        </w:r>
                        <w:r w:rsidRPr="002A5E38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3.64% with a 2% fee. </w:t>
                        </w:r>
                      </w:p>
                      <w:p w14:paraId="65D5D74E" w14:textId="05730C6E" w:rsidR="00872B37" w:rsidRDefault="00872B37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A new 75% </w:t>
                        </w:r>
                        <w:r w:rsidR="00143409"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LTV Green Product</w:t>
                        </w:r>
                        <w:r w:rsidR="00143409"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range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,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being added to our Standard W1 range with rates from </w:t>
                        </w:r>
                        <w:r w:rsidRPr="000C6585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2.94% with a 1.25% fee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. </w:t>
                        </w:r>
                      </w:p>
                      <w:p w14:paraId="59171D63" w14:textId="40865089" w:rsidR="00B334F4" w:rsidRPr="000C6585" w:rsidRDefault="00B334F4" w:rsidP="00B334F4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Current W2 products </w:t>
                        </w:r>
                        <w:r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withdrawn and repriced with rates starting from </w:t>
                        </w:r>
                        <w:r w:rsidRPr="000C6585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3.64% with 1.50% fee. </w:t>
                        </w:r>
                      </w:p>
                      <w:p w14:paraId="6DC1D8BF" w14:textId="77777777" w:rsidR="008D20D2" w:rsidRDefault="008D20D2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</w:p>
                      <w:p w14:paraId="50543D2A" w14:textId="4AB2A249" w:rsidR="0099586F" w:rsidRPr="00143409" w:rsidRDefault="0099586F" w:rsidP="00143409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Criteria Change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s</w:t>
                        </w:r>
                      </w:p>
                      <w:p w14:paraId="75EA3B15" w14:textId="186C5529" w:rsidR="00143409" w:rsidRPr="00143409" w:rsidRDefault="0099586F" w:rsidP="0099586F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 • </w:t>
                        </w:r>
                        <w:r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Loan size maximum increased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on Core Standard 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W1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product range </w:t>
                        </w:r>
                        <w:r w:rsid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for loans 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now </w:t>
                        </w:r>
                        <w:r w:rsid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up </w:t>
                        </w:r>
                        <w:r w:rsidR="00143409"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to £2m </w:t>
                        </w:r>
                        <w:r w:rsidR="00B334F4"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on a single asset </w:t>
                        </w:r>
                        <w:r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at up to 75% LTV</w:t>
                        </w:r>
                        <w:r w:rsid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(Loans above £1.5 million </w:t>
                        </w:r>
                        <w:r w:rsid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on referral 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only</w:t>
                        </w:r>
                        <w:r w:rsidR="003520B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and bespoke rates may apply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) </w:t>
                        </w:r>
                        <w:r w:rsidRPr="00143409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- W2 maximum loan sizes remain unchanged</w:t>
                        </w:r>
                        <w:r w:rsidR="003520B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.</w:t>
                        </w:r>
                      </w:p>
                      <w:p w14:paraId="5E2A73AD" w14:textId="2AB26C6C" w:rsidR="00143409" w:rsidRPr="00981B4B" w:rsidRDefault="0099586F" w:rsidP="0099586F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</w:t>
                        </w:r>
                        <w:r w:rsidR="00B334F4"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Portfolio lending up to £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10</w:t>
                        </w:r>
                        <w:r w:rsidR="00B334F4" w:rsidRP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m</w:t>
                        </w:r>
                        <w:r w:rsidR="00B334F4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per borrower </w:t>
                        </w:r>
                        <w:r w:rsidR="00981B4B" w:rsidRP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(more than 20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applications or £3m lending</w:t>
                        </w:r>
                        <w:r w:rsidR="00981B4B" w:rsidRP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by referral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and bespoke rates may apply</w:t>
                        </w:r>
                        <w:r w:rsidR="00981B4B" w:rsidRP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)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.</w:t>
                        </w:r>
                      </w:p>
                      <w:p w14:paraId="6FECD000" w14:textId="1176DF97" w:rsidR="00981B4B" w:rsidRDefault="0099586F" w:rsidP="0099586F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  <w:r w:rsidRPr="00143409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• 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Leasehold 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Block exposure increased to 20 units with 100% exposure</w:t>
                        </w:r>
                        <w:r w:rsidR="008D20D2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possible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 xml:space="preserve"> – 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block discount 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on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valuation will be applied for over 6 units (over 6 units by referral</w:t>
                        </w:r>
                        <w:r w:rsidR="003325E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 xml:space="preserve"> and bespoke rates may apply</w:t>
                        </w:r>
                        <w:r w:rsidR="00981B4B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)</w:t>
                        </w:r>
                        <w:r w:rsidR="003520BA"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  <w:t>.</w:t>
                        </w:r>
                      </w:p>
                      <w:p w14:paraId="79901E02" w14:textId="77777777" w:rsidR="008D20D2" w:rsidRPr="00981B4B" w:rsidRDefault="008D20D2" w:rsidP="0099586F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b w:val="0"/>
                            <w:bCs w:val="0"/>
                            <w:color w:val="29235C"/>
                          </w:rPr>
                        </w:pPr>
                      </w:p>
                      <w:p w14:paraId="5FA97488" w14:textId="77777777" w:rsidR="00167778" w:rsidRDefault="00167778">
                        <w:pPr>
                          <w:pStyle w:val="NormalWeb"/>
                          <w:spacing w:after="240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New Product Guide</w:t>
                        </w:r>
                      </w:p>
                      <w:p w14:paraId="02E866AB" w14:textId="77777777" w:rsidR="00167778" w:rsidRDefault="00167778">
                        <w:pPr>
                          <w:pStyle w:val="NormalWeb"/>
                          <w:spacing w:after="240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An updated product guide incorporating these changes is available here.</w:t>
                        </w:r>
                      </w:p>
                      <w:p w14:paraId="28B758C2" w14:textId="5DC52352" w:rsidR="00167778" w:rsidRDefault="00167778">
                        <w:pPr>
                          <w:spacing w:line="390" w:lineRule="atLeast"/>
                          <w:jc w:val="center"/>
                          <w:rPr>
                            <w:rStyle w:val="hs-cta-no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24"/>
                            <w:szCs w:val="24"/>
                          </w:rPr>
                          <w:drawing>
                            <wp:inline distT="0" distB="0" distL="0" distR="0" wp14:anchorId="474C8688" wp14:editId="37E816F2">
                              <wp:extent cx="2362200" cy="457200"/>
                              <wp:effectExtent l="0" t="0" r="0" b="0"/>
                              <wp:docPr id="7" name="Picture 7" descr="View Product Guid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s-cta-img-4a906ca8-5218-42f1-b4ef-28dec597ddaa" descr="View Product Guid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C1FF43" w14:textId="77777777" w:rsidR="00BD73DA" w:rsidRDefault="00167778" w:rsidP="00BD73DA">
                        <w:pPr>
                          <w:pStyle w:val="NormalWeb"/>
                          <w:spacing w:after="240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Arial"/>
                            <w:b/>
                            <w:bCs/>
                            <w:color w:val="29235C"/>
                            <w:sz w:val="24"/>
                            <w:szCs w:val="24"/>
                          </w:rPr>
                          <w:br/>
                        </w:r>
                        <w:r w:rsidR="00BD73DA" w:rsidRPr="00BD73DA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Pipeline Cases</w:t>
                        </w:r>
                      </w:p>
                      <w:p w14:paraId="1D04D614" w14:textId="2C6A274B" w:rsidR="00BD73DA" w:rsidRPr="00BD73DA" w:rsidRDefault="00BD73DA" w:rsidP="00BD73DA">
                        <w:pPr>
                          <w:spacing w:line="390" w:lineRule="atLeast"/>
                          <w:jc w:val="both"/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  <w:t> </w:t>
                        </w:r>
                        <w:r w:rsidRPr="00BD73DA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Products being withdrawn will be unavailable for selection from close of business Friday </w:t>
                        </w:r>
                        <w:r w:rsid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21</w:t>
                        </w:r>
                        <w:r w:rsidR="00DA7692" w:rsidRP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 January 2022</w:t>
                        </w:r>
                        <w:r w:rsidRPr="00BD73DA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.</w:t>
                        </w:r>
                      </w:p>
                      <w:p w14:paraId="5D9577A2" w14:textId="77777777" w:rsidR="00BD73DA" w:rsidRPr="00BD73DA" w:rsidRDefault="00BD73DA" w:rsidP="00BD73DA">
                        <w:pPr>
                          <w:spacing w:line="390" w:lineRule="atLeast"/>
                          <w:jc w:val="both"/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</w:pPr>
                        <w:r w:rsidRPr="00BD73DA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 </w:t>
                        </w:r>
                      </w:p>
                      <w:p w14:paraId="4A1B6ECC" w14:textId="6596CBD9" w:rsidR="00BD73DA" w:rsidRPr="00BD73DA" w:rsidRDefault="00BD73DA" w:rsidP="00BD73DA">
                        <w:pPr>
                          <w:spacing w:line="390" w:lineRule="atLeast"/>
                          <w:jc w:val="both"/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</w:pPr>
                        <w:r w:rsidRPr="00BD73DA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Cases keyed on the portal prior to this will be honoured where required on the current product range, subject to a completed application form and the £150 app fee being received by </w:t>
                        </w:r>
                        <w:r w:rsid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Thursday 3</w:t>
                        </w:r>
                        <w:r w:rsidR="00DA7692" w:rsidRP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DA7692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 February 2022</w:t>
                        </w:r>
                        <w:r w:rsidRPr="00BD73DA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.</w:t>
                        </w:r>
                      </w:p>
                      <w:p w14:paraId="503F31C3" w14:textId="77777777" w:rsidR="00BD73DA" w:rsidRDefault="00BD73DA" w:rsidP="00BD73DA">
                        <w:pPr>
                          <w:spacing w:line="390" w:lineRule="atLeast"/>
                          <w:jc w:val="both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</w:p>
                      <w:p w14:paraId="01622BF7" w14:textId="197665FF" w:rsidR="00167778" w:rsidRDefault="009C4480" w:rsidP="009C4480">
                        <w:pPr>
                          <w:pStyle w:val="NormalWeb"/>
                          <w:spacing w:after="240"/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</w:pPr>
                        <w:r w:rsidRPr="009C4480">
                          <w:rPr>
                            <w:rStyle w:val="Strong"/>
                            <w:rFonts w:ascii="Helvetica" w:hAnsi="Helvetica"/>
                            <w:color w:val="29235C"/>
                          </w:rPr>
                          <w:t>Registration</w:t>
                        </w:r>
                      </w:p>
                      <w:p w14:paraId="6F153816" w14:textId="1720024B" w:rsidR="009C4480" w:rsidRDefault="009C4480" w:rsidP="009C4480">
                        <w:pPr>
                          <w:pStyle w:val="NormalWeb"/>
                          <w:spacing w:after="240"/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</w:pPr>
                        <w:r w:rsidRPr="006848E3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lastRenderedPageBreak/>
                          <w:t>If any of your colleagues would like to register to become an introducer to West One BTL, please provide them with this link</w:t>
                        </w:r>
                        <w:r w:rsidR="006848E3" w:rsidRPr="006848E3"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:</w:t>
                        </w:r>
                      </w:p>
                      <w:p w14:paraId="4204BCB4" w14:textId="4DE8EB50" w:rsidR="006848E3" w:rsidRPr="00AA6A8E" w:rsidRDefault="00311EB4" w:rsidP="009C4480">
                        <w:pPr>
                          <w:pStyle w:val="NormalWeb"/>
                          <w:spacing w:after="240"/>
                          <w:rPr>
                            <w:rStyle w:val="Hyperlink"/>
                            <w:b/>
                            <w:bCs/>
                            <w:color w:val="52B2B1"/>
                          </w:rPr>
                        </w:pPr>
                        <w:hyperlink r:id="rId9" w:anchor="introducer" w:history="1">
                          <w:r w:rsidR="00AA6A8E"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52B2B1"/>
                              <w:sz w:val="24"/>
                              <w:szCs w:val="24"/>
                            </w:rPr>
                            <w:t>Register as an introducer</w:t>
                          </w:r>
                        </w:hyperlink>
                      </w:p>
                      <w:p w14:paraId="2E3D4280" w14:textId="77777777" w:rsidR="00167778" w:rsidRDefault="00167778">
                        <w:pPr>
                          <w:pStyle w:val="NormalWeb"/>
                          <w:spacing w:after="240"/>
                          <w:jc w:val="both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>Please get in touch if you would like any support or training on submitting a case and we will arrange a training session.</w:t>
                        </w:r>
                      </w:p>
                      <w:p w14:paraId="7F2D02F0" w14:textId="77777777" w:rsidR="00167778" w:rsidRDefault="00167778">
                        <w:pPr>
                          <w:pStyle w:val="NormalWeb"/>
                          <w:spacing w:after="240"/>
                          <w:jc w:val="both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If you have cases to discuss or require any further information, please contact your BDM or the broker support team on </w:t>
                        </w:r>
                        <w:r>
                          <w:rPr>
                            <w:rStyle w:val="Strong"/>
                            <w:rFonts w:ascii="Helvetica" w:hAnsi="Helvetica" w:cs="Arial"/>
                            <w:color w:val="52B2B1"/>
                            <w:sz w:val="24"/>
                            <w:szCs w:val="24"/>
                          </w:rPr>
                          <w:t>0333 123 4556</w:t>
                        </w:r>
                        <w:r>
                          <w:rPr>
                            <w:rFonts w:ascii="Helvetica" w:hAnsi="Helvetica" w:cs="Arial"/>
                            <w:color w:val="29235C"/>
                            <w:sz w:val="24"/>
                            <w:szCs w:val="24"/>
                          </w:rPr>
                          <w:t xml:space="preserve"> or email 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Helvetica" w:hAnsi="Helvetica" w:cs="Arial"/>
                              <w:b/>
                              <w:bCs/>
                              <w:color w:val="52B2B1"/>
                              <w:sz w:val="24"/>
                              <w:szCs w:val="24"/>
                            </w:rPr>
                            <w:t>btlbrokersupport@westoneloans.co.uk</w:t>
                          </w:r>
                        </w:hyperlink>
                        <w:r>
                          <w:rPr>
                            <w:rStyle w:val="Strong"/>
                            <w:rFonts w:ascii="Helvetica" w:hAnsi="Helvetica" w:cs="Arial"/>
                            <w:color w:val="52B2B1"/>
                            <w:sz w:val="24"/>
                            <w:szCs w:val="24"/>
                          </w:rPr>
                          <w:t>.</w:t>
                        </w:r>
                      </w:p>
                      <w:p w14:paraId="7CD69FBE" w14:textId="77777777" w:rsidR="00167778" w:rsidRDefault="00167778">
                        <w:pPr>
                          <w:pStyle w:val="NormalWeb"/>
                          <w:spacing w:after="240"/>
                          <w:jc w:val="both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  <w:t> </w:t>
                        </w:r>
                      </w:p>
                      <w:p w14:paraId="54D31F9E" w14:textId="285F0C2F" w:rsidR="00167778" w:rsidRDefault="00167778">
                        <w:pPr>
                          <w:pStyle w:val="NormalWeb"/>
                          <w:spacing w:after="240"/>
                          <w:rPr>
                            <w:rFonts w:ascii="Arial" w:hAnsi="Arial" w:cs="Arial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E5CE00" w14:textId="77777777" w:rsidR="00167778" w:rsidRDefault="00167778">
                  <w:pPr>
                    <w:rPr>
                      <w:rFonts w:eastAsia="Times New Roman"/>
                      <w:vanish/>
                    </w:rPr>
                  </w:pPr>
                </w:p>
                <w:p w14:paraId="2AF9C0C0" w14:textId="77777777" w:rsidR="00167778" w:rsidRDefault="001677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B4CF15" w14:textId="77777777" w:rsidR="00167778" w:rsidRDefault="00167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9EA752" w14:textId="05BAFC83" w:rsidR="00167778" w:rsidRDefault="00167778" w:rsidP="0016777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8109184" wp14:editId="62703556">
            <wp:extent cx="635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D7A"/>
    <w:multiLevelType w:val="multilevel"/>
    <w:tmpl w:val="853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4F55"/>
    <w:multiLevelType w:val="multilevel"/>
    <w:tmpl w:val="666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B01D7"/>
    <w:multiLevelType w:val="hybridMultilevel"/>
    <w:tmpl w:val="6E2E7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B"/>
    <w:rsid w:val="0008120A"/>
    <w:rsid w:val="000C6585"/>
    <w:rsid w:val="00143409"/>
    <w:rsid w:val="00167778"/>
    <w:rsid w:val="002742C3"/>
    <w:rsid w:val="002A5E38"/>
    <w:rsid w:val="00311EB4"/>
    <w:rsid w:val="003325EA"/>
    <w:rsid w:val="003520BA"/>
    <w:rsid w:val="00582FBC"/>
    <w:rsid w:val="00672BA2"/>
    <w:rsid w:val="006848E3"/>
    <w:rsid w:val="007C12DB"/>
    <w:rsid w:val="00872B37"/>
    <w:rsid w:val="00883404"/>
    <w:rsid w:val="008D20D2"/>
    <w:rsid w:val="008F6EE0"/>
    <w:rsid w:val="00981B4B"/>
    <w:rsid w:val="0099586F"/>
    <w:rsid w:val="009C4480"/>
    <w:rsid w:val="00AA6A8E"/>
    <w:rsid w:val="00B334F4"/>
    <w:rsid w:val="00B33F35"/>
    <w:rsid w:val="00BC6FFE"/>
    <w:rsid w:val="00BD73DA"/>
    <w:rsid w:val="00C76171"/>
    <w:rsid w:val="00DA7692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C430"/>
  <w15:chartTrackingRefBased/>
  <w15:docId w15:val="{0D1A4F31-EBB4-4C12-A149-31FC23C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D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DB"/>
    <w:rPr>
      <w:color w:val="FFFFFF"/>
      <w:u w:val="single"/>
    </w:rPr>
  </w:style>
  <w:style w:type="paragraph" w:styleId="NormalWeb">
    <w:name w:val="Normal (Web)"/>
    <w:basedOn w:val="Normal"/>
    <w:uiPriority w:val="99"/>
    <w:unhideWhenUsed/>
    <w:rsid w:val="007C12DB"/>
  </w:style>
  <w:style w:type="character" w:customStyle="1" w:styleId="hs-cta-node">
    <w:name w:val="hs-cta-node"/>
    <w:basedOn w:val="DefaultParagraphFont"/>
    <w:rsid w:val="007C12DB"/>
  </w:style>
  <w:style w:type="character" w:styleId="Strong">
    <w:name w:val="Strong"/>
    <w:basedOn w:val="DefaultParagraphFont"/>
    <w:uiPriority w:val="22"/>
    <w:qFormat/>
    <w:rsid w:val="007C12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61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4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westoneloans.co.uk%2Fe3t%2FBtc%2FLU%2B113%2FcgFGf04%2FVVGWbP3Xh4W2VzDDZw1TGtcjW72Qs8N4DfnyWN35KTC_5QXtLV3Zsc37CgZ-tW1Y6_Q090yGj4TG5cm21yW-sW76d33f5VnmcvW8dSwWg6QL9N6Vsm06j77dF8rN2p3B91lNjFLW408qv87hPxG0W5n25MW7F7JnXW4MdFc7396sZwW5PrX7g3lQ2DgW23Vt311JGGZRW8Xlv4w73FMTvW7v4dQp6nStKkVv-7XP6ynFsSW4bvjvN91G1shW3LrC1y66jrn5W2NM9dx55GlXnW6PNvdp6HMCBzW4Xf7xY1x4h1NVnS58n6tQZf-W7wKMyF8v9PdKW784g-W6JHkp7W91g-p23ZPH13N4B21DNMGQRwW57RVvc7B_0wSW4mMvP15RDS17W4lmlKb8nXs6HW3VwGZn3dNndfN5b-S_Ss63B1W3yYTJ04F_-h1W2sXcwq8TPSkSW19xL3X6YfRhRW67Y3mr80TG_xVSxXr53B2440W5cb9Xz4GJLJxW2B68Sm1CqLB6W2tHrJ1114trKMk0qmdJ86mXW5XYptv7_wQxQW5btrxX1pcVF_VnRX9r7KBw-TW38Sp3b5Jv6JbW4mzyrJ7rHfxnW1x_SG67lxF3m32zv1&amp;data=04%7C01%7CPaul.Huxter%40westoneloans.co.uk%7C5c6ef08a55fa4bb9a19308d9d67fc131%7C06faf1c5297b49b4905a0fa795fca535%7C0%7C1%7C637776666466560610%7CUnknown%7CTWFpbGZsb3d8eyJWIjoiMC4wLjAwMDAiLCJQIjoiV2luMzIiLCJBTiI6Ik1haWwiLCJXVCI6Mn0%3D%7C3000&amp;sdata=hXD0ZJEPPfZvjSIaTy3rlmGk%2F2f1dWskFGsFpbixQiA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eur03.safelinks.protection.outlook.com/?url=https%3A%2F%2Fwww.westoneloans.co.uk%2Fe3t%2FBtc%2FLU%2B113%2FcgFGf04%2FVVGWbP3Xh4W2VzDDZw1TGtcjW72Qs8N4DfnyWN35KTCp3lLBGV1-WJV7CgHnQW3K7Bc81dCScwW374Y486Mn8sGW5B4Mt472dBYrW2VptNH7xDxkDW63WV7-61gscdW29d_p241zMTDN99CvDXHJPF5W4XJ0vF5KSv_6W55VFSk3D4Pj9W2DlbK121xL-BW2zyrb124MXDpW7tmxMF6MnQZ2VwT56W8MV8MLW5pLTF674QLcMW8VNkXR7Fk0P1W6q92Gg2_TvBfW1sZncN965wzzW7pzbWq6yWghqW7tQlDP6YmysmW8klhMq2k73-SW1yVSWj7HM_kfW5nSbJz55BmXNW1Yc-Ty2vlgSgW7tqBv46_17wt3dql1&amp;data=04%7C01%7CPaul.Huxter%40westoneloans.co.uk%7C5c6ef08a55fa4bb9a19308d9d67fc131%7C06faf1c5297b49b4905a0fa795fca535%7C0%7C1%7C637776666466560610%7CUnknown%7CTWFpbGZsb3d8eyJWIjoiMC4wLjAwMDAiLCJQIjoiV2luMzIiLCJBTiI6Ik1haWwiLCJXVCI6Mn0%3D%7C3000&amp;sdata=VHbH489YrJcIiMF0Ar3O53dOQIrcnM1iw22%2FO2iDpCo%3D&amp;reserved=0" TargetMode="External"/><Relationship Id="rId10" Type="http://schemas.openxmlformats.org/officeDocument/2006/relationships/hyperlink" Target="mailto:btlbrokersupport@westoneloan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oneloans.co.uk/buy-to-let-mortg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Huxter</dc:creator>
  <cp:keywords/>
  <dc:description/>
  <cp:lastModifiedBy>Aisling Birch</cp:lastModifiedBy>
  <cp:revision>2</cp:revision>
  <dcterms:created xsi:type="dcterms:W3CDTF">2022-01-19T17:37:00Z</dcterms:created>
  <dcterms:modified xsi:type="dcterms:W3CDTF">2022-01-19T17:37:00Z</dcterms:modified>
</cp:coreProperties>
</file>