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E1DE" w14:textId="39654CFA" w:rsidR="008C1858" w:rsidRDefault="008C1858" w:rsidP="007A03A9">
      <w:pPr>
        <w:spacing w:line="240" w:lineRule="auto"/>
        <w:ind w:firstLine="720"/>
        <w:jc w:val="center"/>
        <w:rPr>
          <w:rFonts w:ascii="Arial" w:hAnsi="Arial" w:cs="Arial"/>
        </w:rPr>
      </w:pPr>
    </w:p>
    <w:p w14:paraId="282FCCE1" w14:textId="77777777" w:rsidR="008C1858" w:rsidRDefault="008C1858" w:rsidP="008C1858">
      <w:pPr>
        <w:ind w:firstLine="720"/>
        <w:jc w:val="center"/>
        <w:rPr>
          <w:rFonts w:ascii="Arial" w:hAnsi="Arial" w:cs="Arial"/>
        </w:rPr>
      </w:pPr>
    </w:p>
    <w:p w14:paraId="2FED2C68" w14:textId="61BB87D9" w:rsidR="00685E2A" w:rsidRDefault="00685E2A" w:rsidP="00685E2A">
      <w:pPr>
        <w:jc w:val="right"/>
        <w:rPr>
          <w:rFonts w:ascii="Arial" w:hAnsi="Arial" w:cs="Arial"/>
          <w:b/>
          <w:bCs/>
          <w:sz w:val="28"/>
          <w:szCs w:val="28"/>
        </w:rPr>
      </w:pPr>
      <w:r>
        <w:rPr>
          <w:rFonts w:ascii="Arial" w:hAnsi="Arial" w:cs="Arial"/>
          <w:b/>
          <w:bCs/>
          <w:sz w:val="28"/>
          <w:szCs w:val="28"/>
        </w:rPr>
        <w:t xml:space="preserve">Tuesday, </w:t>
      </w:r>
      <w:r w:rsidR="005D3CA0">
        <w:rPr>
          <w:rFonts w:ascii="Arial" w:hAnsi="Arial" w:cs="Arial"/>
          <w:b/>
          <w:bCs/>
          <w:sz w:val="28"/>
          <w:szCs w:val="28"/>
        </w:rPr>
        <w:t>April 1</w:t>
      </w:r>
      <w:r>
        <w:rPr>
          <w:rFonts w:ascii="Arial" w:hAnsi="Arial" w:cs="Arial"/>
          <w:b/>
          <w:bCs/>
          <w:sz w:val="28"/>
          <w:szCs w:val="28"/>
        </w:rPr>
        <w:t>4, 2026</w:t>
      </w:r>
    </w:p>
    <w:p w14:paraId="3373177F" w14:textId="0CE530BA" w:rsidR="005472F1" w:rsidRDefault="001C2412" w:rsidP="005472F1">
      <w:pPr>
        <w:pStyle w:val="ListParagraph"/>
        <w:rPr>
          <w:rFonts w:ascii="Arial" w:hAnsi="Arial" w:cs="Arial"/>
          <w:b/>
          <w:bCs/>
          <w:sz w:val="28"/>
          <w:szCs w:val="28"/>
        </w:rPr>
      </w:pPr>
      <w:r>
        <w:rPr>
          <w:rFonts w:ascii="Arial" w:hAnsi="Arial" w:cs="Arial"/>
          <w:b/>
          <w:bCs/>
          <w:sz w:val="28"/>
          <w:szCs w:val="28"/>
        </w:rPr>
        <w:t>L</w:t>
      </w:r>
      <w:r w:rsidR="005472F1" w:rsidRPr="005472F1">
        <w:rPr>
          <w:rFonts w:ascii="Arial" w:hAnsi="Arial" w:cs="Arial"/>
          <w:b/>
          <w:bCs/>
          <w:sz w:val="28"/>
          <w:szCs w:val="28"/>
        </w:rPr>
        <w:t>eeds Building Society expands Income Plus range to support “next steppers” with higher income multiples</w:t>
      </w:r>
    </w:p>
    <w:p w14:paraId="2384EF16" w14:textId="77777777" w:rsidR="001C2412" w:rsidRPr="005472F1" w:rsidRDefault="001C2412" w:rsidP="005472F1">
      <w:pPr>
        <w:pStyle w:val="ListParagraph"/>
        <w:rPr>
          <w:rFonts w:ascii="Arial" w:hAnsi="Arial" w:cs="Arial"/>
        </w:rPr>
      </w:pPr>
    </w:p>
    <w:p w14:paraId="34328A95" w14:textId="77777777" w:rsidR="00595EFC" w:rsidRPr="00595EFC" w:rsidRDefault="00595EFC" w:rsidP="00595EFC">
      <w:pPr>
        <w:spacing w:line="240" w:lineRule="auto"/>
        <w:rPr>
          <w:rFonts w:ascii="Arial" w:hAnsi="Arial" w:cs="Arial"/>
        </w:rPr>
      </w:pPr>
      <w:r w:rsidRPr="00595EFC">
        <w:rPr>
          <w:rFonts w:ascii="Arial" w:hAnsi="Arial" w:cs="Arial"/>
        </w:rPr>
        <w:t>Enhanced affordability allows lending of up to six times income to help address the growing gap between first</w:t>
      </w:r>
      <w:r w:rsidRPr="00595EFC">
        <w:rPr>
          <w:rFonts w:ascii="Cambria Math" w:hAnsi="Cambria Math" w:cs="Cambria Math"/>
        </w:rPr>
        <w:t>‑</w:t>
      </w:r>
      <w:r w:rsidRPr="00595EFC">
        <w:rPr>
          <w:rFonts w:ascii="Arial" w:hAnsi="Arial" w:cs="Arial"/>
        </w:rPr>
        <w:t>time buyer and second</w:t>
      </w:r>
      <w:r w:rsidRPr="00595EFC">
        <w:rPr>
          <w:rFonts w:ascii="Cambria Math" w:hAnsi="Cambria Math" w:cs="Cambria Math"/>
        </w:rPr>
        <w:t>‑</w:t>
      </w:r>
      <w:r w:rsidRPr="00595EFC">
        <w:rPr>
          <w:rFonts w:ascii="Arial" w:hAnsi="Arial" w:cs="Arial"/>
        </w:rPr>
        <w:t>stepper homes</w:t>
      </w:r>
    </w:p>
    <w:p w14:paraId="11FB42A2" w14:textId="77777777" w:rsidR="00595EFC" w:rsidRPr="00595EFC" w:rsidRDefault="00595EFC" w:rsidP="00595EFC">
      <w:pPr>
        <w:spacing w:line="240" w:lineRule="auto"/>
        <w:rPr>
          <w:rFonts w:ascii="Arial" w:hAnsi="Arial" w:cs="Arial"/>
        </w:rPr>
      </w:pPr>
      <w:r w:rsidRPr="00595EFC">
        <w:rPr>
          <w:rFonts w:ascii="Arial" w:hAnsi="Arial" w:cs="Arial"/>
        </w:rPr>
        <w:t>Leeds Building Society has expanded its Income Plus mortgage range, extending higher income multiples to support homeowners looking to take their next step up the property ladder.</w:t>
      </w:r>
    </w:p>
    <w:p w14:paraId="6F3805C8" w14:textId="07B133E8" w:rsidR="00595EFC" w:rsidRPr="00595EFC" w:rsidRDefault="00595EFC" w:rsidP="00595EFC">
      <w:pPr>
        <w:spacing w:line="240" w:lineRule="auto"/>
        <w:rPr>
          <w:rFonts w:ascii="Arial" w:hAnsi="Arial" w:cs="Arial"/>
        </w:rPr>
      </w:pPr>
      <w:r w:rsidRPr="00595EFC">
        <w:rPr>
          <w:rFonts w:ascii="Arial" w:hAnsi="Arial" w:cs="Arial"/>
        </w:rPr>
        <w:t>The mutual has enhanced its affordability assessments to allow borrowing of up to six times loan to income for qualifying applicants, targeting so</w:t>
      </w:r>
      <w:r w:rsidRPr="00595EFC">
        <w:rPr>
          <w:rFonts w:ascii="Cambria Math" w:hAnsi="Cambria Math" w:cs="Cambria Math"/>
        </w:rPr>
        <w:t>‑</w:t>
      </w:r>
      <w:r w:rsidRPr="00595EFC">
        <w:rPr>
          <w:rFonts w:ascii="Arial" w:hAnsi="Arial" w:cs="Arial"/>
        </w:rPr>
        <w:t xml:space="preserve">called “next steppers” who are increasingly constrained by affordability limits </w:t>
      </w:r>
      <w:r w:rsidR="00412D00">
        <w:rPr>
          <w:rFonts w:ascii="Arial" w:hAnsi="Arial" w:cs="Arial"/>
        </w:rPr>
        <w:t>linked to household income.</w:t>
      </w:r>
    </w:p>
    <w:p w14:paraId="1C65D22F" w14:textId="7BEC95D9" w:rsidR="00A34962" w:rsidRPr="00A34962" w:rsidRDefault="00595EFC" w:rsidP="00A34962">
      <w:pPr>
        <w:spacing w:line="240" w:lineRule="auto"/>
        <w:rPr>
          <w:rFonts w:ascii="Arial" w:hAnsi="Arial" w:cs="Arial"/>
        </w:rPr>
      </w:pPr>
      <w:r w:rsidRPr="00595EFC">
        <w:rPr>
          <w:rFonts w:ascii="Arial" w:hAnsi="Arial" w:cs="Arial"/>
        </w:rPr>
        <w:t xml:space="preserve">The changes </w:t>
      </w:r>
      <w:r w:rsidR="00412D00">
        <w:rPr>
          <w:rFonts w:ascii="Arial" w:hAnsi="Arial" w:cs="Arial"/>
        </w:rPr>
        <w:t>come as the S</w:t>
      </w:r>
      <w:r w:rsidRPr="00595EFC">
        <w:rPr>
          <w:rFonts w:ascii="Arial" w:hAnsi="Arial" w:cs="Arial"/>
        </w:rPr>
        <w:t>ociety</w:t>
      </w:r>
      <w:r w:rsidR="00412D00">
        <w:rPr>
          <w:rFonts w:ascii="Arial" w:hAnsi="Arial" w:cs="Arial"/>
        </w:rPr>
        <w:t xml:space="preserve"> </w:t>
      </w:r>
      <w:r w:rsidR="00A34962">
        <w:rPr>
          <w:rFonts w:ascii="Arial" w:hAnsi="Arial" w:cs="Arial"/>
        </w:rPr>
        <w:t>releases new research</w:t>
      </w:r>
      <w:r w:rsidR="00952772">
        <w:rPr>
          <w:rStyle w:val="FootnoteReference"/>
          <w:rFonts w:ascii="Arial" w:hAnsi="Arial" w:cs="Arial"/>
        </w:rPr>
        <w:footnoteReference w:id="1"/>
      </w:r>
      <w:r w:rsidRPr="00595EFC">
        <w:rPr>
          <w:rFonts w:ascii="Arial" w:hAnsi="Arial" w:cs="Arial"/>
        </w:rPr>
        <w:t xml:space="preserve"> indicating</w:t>
      </w:r>
      <w:r w:rsidR="00A34962">
        <w:rPr>
          <w:rFonts w:ascii="Arial" w:hAnsi="Arial" w:cs="Arial"/>
        </w:rPr>
        <w:t xml:space="preserve"> that</w:t>
      </w:r>
      <w:r w:rsidR="00A34962" w:rsidRPr="00A34962">
        <w:t xml:space="preserve"> </w:t>
      </w:r>
      <w:r w:rsidR="00A34962" w:rsidRPr="00A34962">
        <w:rPr>
          <w:rFonts w:ascii="Arial" w:hAnsi="Arial" w:cs="Arial"/>
        </w:rPr>
        <w:t>Brits are putting off key life moments as they admit feeling stuck in starter homes.</w:t>
      </w:r>
    </w:p>
    <w:p w14:paraId="093D0ED9" w14:textId="732A3C38" w:rsidR="00A34962" w:rsidRPr="00A34962" w:rsidRDefault="00A34962" w:rsidP="00A34962">
      <w:pPr>
        <w:spacing w:line="240" w:lineRule="auto"/>
        <w:rPr>
          <w:rFonts w:ascii="Arial" w:hAnsi="Arial" w:cs="Arial"/>
        </w:rPr>
      </w:pPr>
      <w:r>
        <w:rPr>
          <w:rFonts w:ascii="Arial" w:hAnsi="Arial" w:cs="Arial"/>
        </w:rPr>
        <w:t>The data shows that a</w:t>
      </w:r>
      <w:r w:rsidRPr="00A34962">
        <w:rPr>
          <w:rFonts w:ascii="Arial" w:hAnsi="Arial" w:cs="Arial"/>
        </w:rPr>
        <w:t>lmost three quarters (70%)</w:t>
      </w:r>
      <w:r w:rsidR="006E3701">
        <w:rPr>
          <w:rStyle w:val="FootnoteReference"/>
          <w:rFonts w:ascii="Arial" w:hAnsi="Arial" w:cs="Arial"/>
        </w:rPr>
        <w:footnoteReference w:id="2"/>
      </w:r>
      <w:r w:rsidRPr="00A34962">
        <w:rPr>
          <w:rFonts w:ascii="Arial" w:hAnsi="Arial" w:cs="Arial"/>
        </w:rPr>
        <w:t xml:space="preserve"> of recent first-time buyers say their current living situation has impacted their plans to have more children</w:t>
      </w:r>
      <w:r w:rsidR="00952772">
        <w:rPr>
          <w:rFonts w:ascii="Arial" w:hAnsi="Arial" w:cs="Arial"/>
        </w:rPr>
        <w:t xml:space="preserve">, </w:t>
      </w:r>
      <w:r w:rsidRPr="00A34962">
        <w:rPr>
          <w:rFonts w:ascii="Arial" w:hAnsi="Arial" w:cs="Arial"/>
        </w:rPr>
        <w:t>and two thirds (65%) feel like moving up the property ladder is currently out of reach for them.</w:t>
      </w:r>
    </w:p>
    <w:p w14:paraId="5342CE0E" w14:textId="05F3DA61" w:rsidR="00595EFC" w:rsidRDefault="00A34962" w:rsidP="00A34962">
      <w:pPr>
        <w:spacing w:line="240" w:lineRule="auto"/>
        <w:rPr>
          <w:rFonts w:ascii="Arial" w:hAnsi="Arial" w:cs="Arial"/>
        </w:rPr>
      </w:pPr>
      <w:r w:rsidRPr="00A34962">
        <w:rPr>
          <w:rFonts w:ascii="Arial" w:hAnsi="Arial" w:cs="Arial"/>
        </w:rPr>
        <w:t>Many are thinking ahead to their next step, with almost two thirds (62%) of recent buyers feeling they have, or will have, outgrown their home within the first three years of homeownership.</w:t>
      </w:r>
    </w:p>
    <w:p w14:paraId="087E541E" w14:textId="6079FDE6" w:rsidR="00B460B8" w:rsidRDefault="00D101CE" w:rsidP="00A34962">
      <w:pPr>
        <w:spacing w:line="240" w:lineRule="auto"/>
        <w:rPr>
          <w:rFonts w:ascii="Arial" w:hAnsi="Arial" w:cs="Arial"/>
        </w:rPr>
      </w:pPr>
      <w:r>
        <w:rPr>
          <w:rFonts w:ascii="Arial" w:hAnsi="Arial" w:cs="Arial"/>
        </w:rPr>
        <w:t>But recent</w:t>
      </w:r>
      <w:r w:rsidR="00C45935" w:rsidRPr="00C45935">
        <w:t xml:space="preserve"> </w:t>
      </w:r>
      <w:r w:rsidR="00C45935" w:rsidRPr="00C45935">
        <w:rPr>
          <w:rFonts w:ascii="Arial" w:hAnsi="Arial" w:cs="Arial"/>
        </w:rPr>
        <w:t xml:space="preserve">market data from Rightmove </w:t>
      </w:r>
      <w:r w:rsidR="00A54F52">
        <w:rPr>
          <w:rFonts w:ascii="Arial" w:hAnsi="Arial" w:cs="Arial"/>
        </w:rPr>
        <w:t>revealed</w:t>
      </w:r>
      <w:r w:rsidR="00C45935" w:rsidRPr="00C45935">
        <w:rPr>
          <w:rFonts w:ascii="Arial" w:hAnsi="Arial" w:cs="Arial"/>
        </w:rPr>
        <w:t xml:space="preserve"> that the price gap between a typical first-time buyer property and a ‘</w:t>
      </w:r>
      <w:proofErr w:type="gramStart"/>
      <w:r w:rsidR="00C45935" w:rsidRPr="00C45935">
        <w:rPr>
          <w:rFonts w:ascii="Arial" w:hAnsi="Arial" w:cs="Arial"/>
        </w:rPr>
        <w:t>second-stepper</w:t>
      </w:r>
      <w:proofErr w:type="gramEnd"/>
      <w:r w:rsidR="00C45935" w:rsidRPr="00C45935">
        <w:rPr>
          <w:rFonts w:ascii="Arial" w:hAnsi="Arial" w:cs="Arial"/>
        </w:rPr>
        <w:t xml:space="preserve">’ home is 52%, highlighting the </w:t>
      </w:r>
      <w:r>
        <w:rPr>
          <w:rFonts w:ascii="Arial" w:hAnsi="Arial" w:cs="Arial"/>
        </w:rPr>
        <w:t>challenges facing</w:t>
      </w:r>
      <w:r w:rsidR="00C45935" w:rsidRPr="00C45935">
        <w:rPr>
          <w:rFonts w:ascii="Arial" w:hAnsi="Arial" w:cs="Arial"/>
        </w:rPr>
        <w:t xml:space="preserve"> homeowners </w:t>
      </w:r>
      <w:r w:rsidR="009E2BFF">
        <w:rPr>
          <w:rFonts w:ascii="Arial" w:hAnsi="Arial" w:cs="Arial"/>
        </w:rPr>
        <w:t>and their brokers</w:t>
      </w:r>
      <w:r w:rsidR="00C45935" w:rsidRPr="00C45935">
        <w:rPr>
          <w:rFonts w:ascii="Arial" w:hAnsi="Arial" w:cs="Arial"/>
        </w:rPr>
        <w:t xml:space="preserve">. </w:t>
      </w:r>
    </w:p>
    <w:p w14:paraId="6D4358F6" w14:textId="69AE984A" w:rsidR="003C5108" w:rsidRDefault="009E2BFF" w:rsidP="003C5108">
      <w:pPr>
        <w:spacing w:line="240" w:lineRule="auto"/>
        <w:rPr>
          <w:rFonts w:ascii="Arial" w:hAnsi="Arial" w:cs="Arial"/>
        </w:rPr>
      </w:pPr>
      <w:r>
        <w:rPr>
          <w:rFonts w:ascii="Arial" w:hAnsi="Arial" w:cs="Arial"/>
        </w:rPr>
        <w:t>Leeds Building Society launched its</w:t>
      </w:r>
      <w:r w:rsidR="00595EFC" w:rsidRPr="00595EFC">
        <w:rPr>
          <w:rFonts w:ascii="Arial" w:hAnsi="Arial" w:cs="Arial"/>
        </w:rPr>
        <w:t xml:space="preserve"> Income Plus range</w:t>
      </w:r>
      <w:r>
        <w:rPr>
          <w:rFonts w:ascii="Arial" w:hAnsi="Arial" w:cs="Arial"/>
        </w:rPr>
        <w:t xml:space="preserve"> of mortgages at the end of</w:t>
      </w:r>
      <w:r w:rsidR="00595EFC" w:rsidRPr="00595EFC">
        <w:rPr>
          <w:rFonts w:ascii="Arial" w:hAnsi="Arial" w:cs="Arial"/>
        </w:rPr>
        <w:t xml:space="preserve"> 2024, offer</w:t>
      </w:r>
      <w:r>
        <w:rPr>
          <w:rFonts w:ascii="Arial" w:hAnsi="Arial" w:cs="Arial"/>
        </w:rPr>
        <w:t>ing</w:t>
      </w:r>
      <w:r w:rsidR="00595EFC" w:rsidRPr="00595EFC">
        <w:rPr>
          <w:rFonts w:ascii="Arial" w:hAnsi="Arial" w:cs="Arial"/>
        </w:rPr>
        <w:t xml:space="preserve"> higher income multiples alongside a lower minimum income threshold. Under the latest enhancements</w:t>
      </w:r>
      <w:r w:rsidR="00B746EC">
        <w:rPr>
          <w:rFonts w:ascii="Arial" w:hAnsi="Arial" w:cs="Arial"/>
        </w:rPr>
        <w:t xml:space="preserve">, “next steppers” </w:t>
      </w:r>
      <w:r w:rsidR="00654128">
        <w:rPr>
          <w:rFonts w:ascii="Arial" w:hAnsi="Arial" w:cs="Arial"/>
        </w:rPr>
        <w:t xml:space="preserve">with a single or joint income of </w:t>
      </w:r>
      <w:r w:rsidR="00654128" w:rsidRPr="00595EFC">
        <w:rPr>
          <w:rFonts w:ascii="Arial" w:hAnsi="Arial" w:cs="Arial"/>
        </w:rPr>
        <w:t>£75,000+</w:t>
      </w:r>
      <w:r w:rsidR="00654128">
        <w:rPr>
          <w:rFonts w:ascii="Arial" w:hAnsi="Arial" w:cs="Arial"/>
        </w:rPr>
        <w:t xml:space="preserve"> </w:t>
      </w:r>
      <w:r w:rsidR="00B746EC">
        <w:rPr>
          <w:rFonts w:ascii="Arial" w:hAnsi="Arial" w:cs="Arial"/>
        </w:rPr>
        <w:t>can borrow</w:t>
      </w:r>
      <w:r w:rsidR="0041575D">
        <w:rPr>
          <w:rFonts w:ascii="Arial" w:hAnsi="Arial" w:cs="Arial"/>
        </w:rPr>
        <w:t xml:space="preserve"> u</w:t>
      </w:r>
      <w:r w:rsidR="00595EFC" w:rsidRPr="00595EFC">
        <w:rPr>
          <w:rFonts w:ascii="Arial" w:hAnsi="Arial" w:cs="Arial"/>
        </w:rPr>
        <w:t xml:space="preserve">p to </w:t>
      </w:r>
      <w:r w:rsidR="00933CF3">
        <w:rPr>
          <w:rFonts w:ascii="Arial" w:hAnsi="Arial" w:cs="Arial"/>
        </w:rPr>
        <w:t>six times</w:t>
      </w:r>
      <w:r w:rsidR="00595EFC" w:rsidRPr="00595EFC">
        <w:rPr>
          <w:rFonts w:ascii="Arial" w:hAnsi="Arial" w:cs="Arial"/>
        </w:rPr>
        <w:t xml:space="preserve"> </w:t>
      </w:r>
      <w:r w:rsidR="00654128">
        <w:rPr>
          <w:rFonts w:ascii="Arial" w:hAnsi="Arial" w:cs="Arial"/>
        </w:rPr>
        <w:t>their</w:t>
      </w:r>
      <w:r w:rsidR="00595EFC" w:rsidRPr="00595EFC">
        <w:rPr>
          <w:rFonts w:ascii="Arial" w:hAnsi="Arial" w:cs="Arial"/>
        </w:rPr>
        <w:t xml:space="preserve"> income</w:t>
      </w:r>
      <w:r w:rsidR="00654128">
        <w:rPr>
          <w:rFonts w:ascii="Arial" w:hAnsi="Arial" w:cs="Arial"/>
        </w:rPr>
        <w:t>. And a</w:t>
      </w:r>
      <w:r w:rsidR="00595EFC" w:rsidRPr="00595EFC">
        <w:rPr>
          <w:rFonts w:ascii="Arial" w:hAnsi="Arial" w:cs="Arial"/>
        </w:rPr>
        <w:t xml:space="preserve">pplicants with an income of £50,000+ can borrow up to </w:t>
      </w:r>
      <w:r w:rsidR="00E00E12">
        <w:rPr>
          <w:rFonts w:ascii="Arial" w:hAnsi="Arial" w:cs="Arial"/>
        </w:rPr>
        <w:t>five and a half times</w:t>
      </w:r>
      <w:r w:rsidR="008A7804">
        <w:rPr>
          <w:rFonts w:ascii="Arial" w:hAnsi="Arial" w:cs="Arial"/>
        </w:rPr>
        <w:t xml:space="preserve"> their</w:t>
      </w:r>
      <w:r w:rsidR="00595EFC" w:rsidRPr="00595EFC">
        <w:rPr>
          <w:rFonts w:ascii="Arial" w:hAnsi="Arial" w:cs="Arial"/>
        </w:rPr>
        <w:t xml:space="preserve"> income when moving up the ladder</w:t>
      </w:r>
      <w:r w:rsidR="008A7804">
        <w:rPr>
          <w:rFonts w:ascii="Arial" w:hAnsi="Arial" w:cs="Arial"/>
        </w:rPr>
        <w:t>.</w:t>
      </w:r>
    </w:p>
    <w:p w14:paraId="4BB8BD71" w14:textId="77777777" w:rsidR="003C5108" w:rsidRDefault="003C5108" w:rsidP="003C5108">
      <w:pPr>
        <w:spacing w:line="240" w:lineRule="auto"/>
        <w:rPr>
          <w:rFonts w:ascii="Arial" w:hAnsi="Arial" w:cs="Arial"/>
        </w:rPr>
      </w:pPr>
      <w:r w:rsidRPr="27152833">
        <w:rPr>
          <w:rFonts w:ascii="Arial" w:hAnsi="Arial" w:cs="Arial"/>
        </w:rPr>
        <w:t>Products launching today include:</w:t>
      </w:r>
    </w:p>
    <w:tbl>
      <w:tblPr>
        <w:tblW w:w="0" w:type="auto"/>
        <w:tblLook w:val="04A0" w:firstRow="1" w:lastRow="0" w:firstColumn="1" w:lastColumn="0" w:noHBand="0" w:noVBand="1"/>
      </w:tblPr>
      <w:tblGrid>
        <w:gridCol w:w="1495"/>
        <w:gridCol w:w="821"/>
        <w:gridCol w:w="1330"/>
        <w:gridCol w:w="962"/>
        <w:gridCol w:w="1927"/>
        <w:gridCol w:w="2471"/>
      </w:tblGrid>
      <w:tr w:rsidR="003C5108" w14:paraId="565EFF4C" w14:textId="77777777" w:rsidTr="000E6C83">
        <w:trPr>
          <w:trHeight w:val="300"/>
        </w:trPr>
        <w:tc>
          <w:tcPr>
            <w:tcW w:w="1519" w:type="dxa"/>
            <w:tcBorders>
              <w:top w:val="single" w:sz="8" w:space="0" w:color="auto"/>
              <w:left w:val="single" w:sz="8" w:space="0" w:color="auto"/>
              <w:bottom w:val="single" w:sz="8" w:space="0" w:color="auto"/>
              <w:right w:val="single" w:sz="8" w:space="0" w:color="auto"/>
            </w:tcBorders>
            <w:tcMar>
              <w:left w:w="108" w:type="dxa"/>
              <w:right w:w="108" w:type="dxa"/>
            </w:tcMar>
          </w:tcPr>
          <w:p w14:paraId="09487D6F" w14:textId="77777777" w:rsidR="003C5108" w:rsidRDefault="003C5108" w:rsidP="000E6C83">
            <w:pPr>
              <w:spacing w:after="0"/>
              <w:jc w:val="center"/>
              <w:rPr>
                <w:rFonts w:ascii="Arial" w:eastAsia="Arial" w:hAnsi="Arial" w:cs="Arial"/>
                <w:b/>
                <w:bCs/>
                <w:sz w:val="20"/>
                <w:szCs w:val="20"/>
              </w:rPr>
            </w:pP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D00B596"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Term</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5F43000D"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Max LTV</w:t>
            </w:r>
          </w:p>
        </w:tc>
        <w:tc>
          <w:tcPr>
            <w:tcW w:w="969" w:type="dxa"/>
            <w:tcBorders>
              <w:top w:val="single" w:sz="8" w:space="0" w:color="auto"/>
              <w:left w:val="single" w:sz="8" w:space="0" w:color="auto"/>
              <w:bottom w:val="single" w:sz="8" w:space="0" w:color="auto"/>
              <w:right w:val="single" w:sz="8" w:space="0" w:color="auto"/>
            </w:tcBorders>
            <w:tcMar>
              <w:left w:w="108" w:type="dxa"/>
              <w:right w:w="108" w:type="dxa"/>
            </w:tcMar>
          </w:tcPr>
          <w:p w14:paraId="2865D448"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Rate</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658D94A9"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Completion Fee</w:t>
            </w:r>
          </w:p>
        </w:tc>
        <w:tc>
          <w:tcPr>
            <w:tcW w:w="2517" w:type="dxa"/>
            <w:tcBorders>
              <w:top w:val="single" w:sz="8" w:space="0" w:color="auto"/>
              <w:left w:val="single" w:sz="8" w:space="0" w:color="auto"/>
              <w:bottom w:val="single" w:sz="8" w:space="0" w:color="auto"/>
              <w:right w:val="single" w:sz="8" w:space="0" w:color="auto"/>
            </w:tcBorders>
            <w:tcMar>
              <w:left w:w="108" w:type="dxa"/>
              <w:right w:w="108" w:type="dxa"/>
            </w:tcMar>
          </w:tcPr>
          <w:p w14:paraId="038D14AE"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Incentives</w:t>
            </w:r>
          </w:p>
        </w:tc>
      </w:tr>
      <w:tr w:rsidR="003C5108" w14:paraId="27EDA45A" w14:textId="77777777" w:rsidTr="000E6C83">
        <w:trPr>
          <w:trHeight w:val="345"/>
        </w:trPr>
        <w:tc>
          <w:tcPr>
            <w:tcW w:w="1519"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574E745"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First Time Buyers</w:t>
            </w:r>
          </w:p>
        </w:tc>
        <w:tc>
          <w:tcPr>
            <w:tcW w:w="82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D901AE"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5yrs</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60225237"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80%</w:t>
            </w:r>
          </w:p>
        </w:tc>
        <w:tc>
          <w:tcPr>
            <w:tcW w:w="9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B8F84D"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5.10%</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1A602B"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£0</w:t>
            </w:r>
          </w:p>
        </w:tc>
        <w:tc>
          <w:tcPr>
            <w:tcW w:w="251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CE7FBF6"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Free standard valuation</w:t>
            </w:r>
          </w:p>
          <w:p w14:paraId="3AB9B188"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 xml:space="preserve"> </w:t>
            </w:r>
          </w:p>
          <w:p w14:paraId="00DC8BD9"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10% penalty free capital over repayments p.a.</w:t>
            </w:r>
          </w:p>
        </w:tc>
      </w:tr>
      <w:tr w:rsidR="003C5108" w14:paraId="4075613B" w14:textId="77777777" w:rsidTr="000E6C83">
        <w:trPr>
          <w:trHeight w:val="300"/>
        </w:trPr>
        <w:tc>
          <w:tcPr>
            <w:tcW w:w="1519" w:type="dxa"/>
            <w:vMerge/>
            <w:tcBorders>
              <w:left w:val="single" w:sz="0" w:space="0" w:color="auto"/>
              <w:right w:val="single" w:sz="0" w:space="0" w:color="auto"/>
            </w:tcBorders>
            <w:vAlign w:val="center"/>
          </w:tcPr>
          <w:p w14:paraId="62C6E417" w14:textId="77777777" w:rsidR="003C5108" w:rsidRDefault="003C5108" w:rsidP="000E6C83"/>
        </w:tc>
        <w:tc>
          <w:tcPr>
            <w:tcW w:w="825" w:type="dxa"/>
            <w:vMerge/>
            <w:tcBorders>
              <w:left w:val="single" w:sz="0" w:space="0" w:color="auto"/>
              <w:right w:val="single" w:sz="0" w:space="0" w:color="auto"/>
            </w:tcBorders>
            <w:vAlign w:val="center"/>
          </w:tcPr>
          <w:p w14:paraId="03293212" w14:textId="77777777" w:rsidR="003C5108" w:rsidRDefault="003C5108" w:rsidP="000E6C83"/>
        </w:tc>
        <w:tc>
          <w:tcPr>
            <w:tcW w:w="1357" w:type="dxa"/>
            <w:tcBorders>
              <w:top w:val="single" w:sz="8" w:space="0" w:color="auto"/>
              <w:left w:val="nil"/>
              <w:bottom w:val="single" w:sz="8" w:space="0" w:color="auto"/>
              <w:right w:val="single" w:sz="8" w:space="0" w:color="auto"/>
            </w:tcBorders>
            <w:tcMar>
              <w:left w:w="108" w:type="dxa"/>
              <w:right w:w="108" w:type="dxa"/>
            </w:tcMar>
          </w:tcPr>
          <w:p w14:paraId="5E7280F4"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85%</w:t>
            </w:r>
          </w:p>
        </w:tc>
        <w:tc>
          <w:tcPr>
            <w:tcW w:w="9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9F51F"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5.14%</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CD8700"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£0</w:t>
            </w:r>
          </w:p>
        </w:tc>
        <w:tc>
          <w:tcPr>
            <w:tcW w:w="2517" w:type="dxa"/>
            <w:vMerge/>
            <w:tcBorders>
              <w:left w:val="single" w:sz="0" w:space="0" w:color="auto"/>
              <w:right w:val="single" w:sz="0" w:space="0" w:color="auto"/>
            </w:tcBorders>
            <w:vAlign w:val="center"/>
          </w:tcPr>
          <w:p w14:paraId="7EC0AB37" w14:textId="77777777" w:rsidR="003C5108" w:rsidRDefault="003C5108" w:rsidP="000E6C83"/>
        </w:tc>
      </w:tr>
      <w:tr w:rsidR="003C5108" w14:paraId="26C2610C" w14:textId="77777777" w:rsidTr="000E6C83">
        <w:trPr>
          <w:trHeight w:val="300"/>
        </w:trPr>
        <w:tc>
          <w:tcPr>
            <w:tcW w:w="1519" w:type="dxa"/>
            <w:vMerge/>
            <w:tcBorders>
              <w:left w:val="single" w:sz="0" w:space="0" w:color="auto"/>
              <w:right w:val="single" w:sz="0" w:space="0" w:color="auto"/>
            </w:tcBorders>
            <w:vAlign w:val="center"/>
          </w:tcPr>
          <w:p w14:paraId="721FDED6" w14:textId="77777777" w:rsidR="003C5108" w:rsidRDefault="003C5108" w:rsidP="000E6C83"/>
        </w:tc>
        <w:tc>
          <w:tcPr>
            <w:tcW w:w="825" w:type="dxa"/>
            <w:vMerge/>
            <w:tcBorders>
              <w:left w:val="single" w:sz="0" w:space="0" w:color="auto"/>
              <w:right w:val="single" w:sz="0" w:space="0" w:color="auto"/>
            </w:tcBorders>
            <w:vAlign w:val="center"/>
          </w:tcPr>
          <w:p w14:paraId="4BB49FBE" w14:textId="77777777" w:rsidR="003C5108" w:rsidRDefault="003C5108" w:rsidP="000E6C83"/>
        </w:tc>
        <w:tc>
          <w:tcPr>
            <w:tcW w:w="1357" w:type="dxa"/>
            <w:tcBorders>
              <w:top w:val="single" w:sz="8" w:space="0" w:color="auto"/>
              <w:left w:val="nil"/>
              <w:bottom w:val="single" w:sz="8" w:space="0" w:color="auto"/>
              <w:right w:val="single" w:sz="8" w:space="0" w:color="auto"/>
            </w:tcBorders>
            <w:tcMar>
              <w:left w:w="108" w:type="dxa"/>
              <w:right w:w="108" w:type="dxa"/>
            </w:tcMar>
          </w:tcPr>
          <w:p w14:paraId="6B611A5B"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85%</w:t>
            </w:r>
          </w:p>
        </w:tc>
        <w:tc>
          <w:tcPr>
            <w:tcW w:w="9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3D0934"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5.04%</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6B1FC"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£999</w:t>
            </w:r>
          </w:p>
        </w:tc>
        <w:tc>
          <w:tcPr>
            <w:tcW w:w="2517" w:type="dxa"/>
            <w:vMerge/>
            <w:tcBorders>
              <w:left w:val="single" w:sz="0" w:space="0" w:color="auto"/>
              <w:right w:val="single" w:sz="0" w:space="0" w:color="auto"/>
            </w:tcBorders>
            <w:vAlign w:val="center"/>
          </w:tcPr>
          <w:p w14:paraId="6F36DCD2" w14:textId="77777777" w:rsidR="003C5108" w:rsidRDefault="003C5108" w:rsidP="000E6C83"/>
        </w:tc>
      </w:tr>
      <w:tr w:rsidR="003C5108" w14:paraId="702BDB4D" w14:textId="77777777" w:rsidTr="000E6C83">
        <w:trPr>
          <w:trHeight w:val="300"/>
        </w:trPr>
        <w:tc>
          <w:tcPr>
            <w:tcW w:w="1519" w:type="dxa"/>
            <w:vMerge/>
            <w:tcBorders>
              <w:left w:val="single" w:sz="0" w:space="0" w:color="auto"/>
              <w:right w:val="single" w:sz="0" w:space="0" w:color="auto"/>
            </w:tcBorders>
            <w:vAlign w:val="center"/>
          </w:tcPr>
          <w:p w14:paraId="0A11CD79" w14:textId="77777777" w:rsidR="003C5108" w:rsidRDefault="003C5108" w:rsidP="000E6C83"/>
        </w:tc>
        <w:tc>
          <w:tcPr>
            <w:tcW w:w="825" w:type="dxa"/>
            <w:vMerge/>
            <w:tcBorders>
              <w:left w:val="single" w:sz="0" w:space="0" w:color="auto"/>
              <w:right w:val="single" w:sz="0" w:space="0" w:color="auto"/>
            </w:tcBorders>
            <w:vAlign w:val="center"/>
          </w:tcPr>
          <w:p w14:paraId="680452B4" w14:textId="77777777" w:rsidR="003C5108" w:rsidRDefault="003C5108" w:rsidP="000E6C83"/>
        </w:tc>
        <w:tc>
          <w:tcPr>
            <w:tcW w:w="1357" w:type="dxa"/>
            <w:tcBorders>
              <w:top w:val="single" w:sz="8" w:space="0" w:color="auto"/>
              <w:left w:val="nil"/>
              <w:bottom w:val="single" w:sz="8" w:space="0" w:color="auto"/>
              <w:right w:val="single" w:sz="8" w:space="0" w:color="auto"/>
            </w:tcBorders>
            <w:tcMar>
              <w:left w:w="108" w:type="dxa"/>
              <w:right w:w="108" w:type="dxa"/>
            </w:tcMar>
          </w:tcPr>
          <w:p w14:paraId="08E5A2A1"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90%</w:t>
            </w:r>
          </w:p>
        </w:tc>
        <w:tc>
          <w:tcPr>
            <w:tcW w:w="9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CA8CB"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5.30%</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45753"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£0</w:t>
            </w:r>
          </w:p>
        </w:tc>
        <w:tc>
          <w:tcPr>
            <w:tcW w:w="2517" w:type="dxa"/>
            <w:vMerge/>
            <w:tcBorders>
              <w:left w:val="single" w:sz="0" w:space="0" w:color="auto"/>
              <w:right w:val="single" w:sz="0" w:space="0" w:color="auto"/>
            </w:tcBorders>
            <w:vAlign w:val="center"/>
          </w:tcPr>
          <w:p w14:paraId="2E96F46E" w14:textId="77777777" w:rsidR="003C5108" w:rsidRDefault="003C5108" w:rsidP="000E6C83"/>
        </w:tc>
      </w:tr>
      <w:tr w:rsidR="003C5108" w14:paraId="5434E5D5" w14:textId="77777777" w:rsidTr="000E6C83">
        <w:trPr>
          <w:trHeight w:val="300"/>
        </w:trPr>
        <w:tc>
          <w:tcPr>
            <w:tcW w:w="1519" w:type="dxa"/>
            <w:vMerge/>
            <w:tcBorders>
              <w:left w:val="single" w:sz="0" w:space="0" w:color="auto"/>
              <w:right w:val="single" w:sz="0" w:space="0" w:color="auto"/>
            </w:tcBorders>
            <w:vAlign w:val="center"/>
          </w:tcPr>
          <w:p w14:paraId="5D8913C7" w14:textId="77777777" w:rsidR="003C5108" w:rsidRDefault="003C5108" w:rsidP="000E6C83"/>
        </w:tc>
        <w:tc>
          <w:tcPr>
            <w:tcW w:w="825" w:type="dxa"/>
            <w:vMerge/>
            <w:tcBorders>
              <w:left w:val="single" w:sz="0" w:space="0" w:color="auto"/>
              <w:right w:val="single" w:sz="0" w:space="0" w:color="auto"/>
            </w:tcBorders>
            <w:vAlign w:val="center"/>
          </w:tcPr>
          <w:p w14:paraId="6EC8AE67" w14:textId="77777777" w:rsidR="003C5108" w:rsidRDefault="003C5108" w:rsidP="000E6C83"/>
        </w:tc>
        <w:tc>
          <w:tcPr>
            <w:tcW w:w="1357" w:type="dxa"/>
            <w:tcBorders>
              <w:top w:val="single" w:sz="8" w:space="0" w:color="auto"/>
              <w:left w:val="nil"/>
              <w:bottom w:val="single" w:sz="8" w:space="0" w:color="auto"/>
              <w:right w:val="single" w:sz="8" w:space="0" w:color="auto"/>
            </w:tcBorders>
            <w:tcMar>
              <w:left w:w="108" w:type="dxa"/>
              <w:right w:w="108" w:type="dxa"/>
            </w:tcMar>
          </w:tcPr>
          <w:p w14:paraId="23D7A1F3"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90%</w:t>
            </w:r>
          </w:p>
        </w:tc>
        <w:tc>
          <w:tcPr>
            <w:tcW w:w="9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6CBCEC"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5.25%</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9874D0"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£999</w:t>
            </w:r>
          </w:p>
        </w:tc>
        <w:tc>
          <w:tcPr>
            <w:tcW w:w="2517" w:type="dxa"/>
            <w:vMerge/>
            <w:tcBorders>
              <w:left w:val="single" w:sz="0" w:space="0" w:color="auto"/>
              <w:right w:val="single" w:sz="0" w:space="0" w:color="auto"/>
            </w:tcBorders>
            <w:vAlign w:val="center"/>
          </w:tcPr>
          <w:p w14:paraId="33C6298D" w14:textId="77777777" w:rsidR="003C5108" w:rsidRDefault="003C5108" w:rsidP="000E6C83"/>
        </w:tc>
      </w:tr>
      <w:tr w:rsidR="003C5108" w14:paraId="3F2281CC" w14:textId="77777777" w:rsidTr="000E6C83">
        <w:trPr>
          <w:trHeight w:val="300"/>
        </w:trPr>
        <w:tc>
          <w:tcPr>
            <w:tcW w:w="1519" w:type="dxa"/>
            <w:vMerge/>
            <w:tcBorders>
              <w:left w:val="single" w:sz="0" w:space="0" w:color="auto"/>
              <w:right w:val="single" w:sz="0" w:space="0" w:color="auto"/>
            </w:tcBorders>
            <w:vAlign w:val="center"/>
          </w:tcPr>
          <w:p w14:paraId="0C61ED88" w14:textId="77777777" w:rsidR="003C5108" w:rsidRDefault="003C5108" w:rsidP="000E6C83"/>
        </w:tc>
        <w:tc>
          <w:tcPr>
            <w:tcW w:w="825" w:type="dxa"/>
            <w:vMerge/>
            <w:tcBorders>
              <w:left w:val="single" w:sz="0" w:space="0" w:color="auto"/>
              <w:right w:val="single" w:sz="0" w:space="0" w:color="auto"/>
            </w:tcBorders>
            <w:vAlign w:val="center"/>
          </w:tcPr>
          <w:p w14:paraId="23E22305" w14:textId="77777777" w:rsidR="003C5108" w:rsidRDefault="003C5108" w:rsidP="000E6C83"/>
        </w:tc>
        <w:tc>
          <w:tcPr>
            <w:tcW w:w="1357" w:type="dxa"/>
            <w:tcBorders>
              <w:top w:val="single" w:sz="8" w:space="0" w:color="auto"/>
              <w:left w:val="nil"/>
              <w:bottom w:val="single" w:sz="8" w:space="0" w:color="auto"/>
              <w:right w:val="single" w:sz="8" w:space="0" w:color="auto"/>
            </w:tcBorders>
            <w:tcMar>
              <w:left w:w="108" w:type="dxa"/>
              <w:right w:w="108" w:type="dxa"/>
            </w:tcMar>
          </w:tcPr>
          <w:p w14:paraId="35663B87"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95%</w:t>
            </w:r>
          </w:p>
        </w:tc>
        <w:tc>
          <w:tcPr>
            <w:tcW w:w="9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6732D"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5.64%</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7D439D"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£0</w:t>
            </w:r>
          </w:p>
        </w:tc>
        <w:tc>
          <w:tcPr>
            <w:tcW w:w="2517" w:type="dxa"/>
            <w:vMerge/>
            <w:tcBorders>
              <w:left w:val="single" w:sz="0" w:space="0" w:color="auto"/>
              <w:right w:val="single" w:sz="0" w:space="0" w:color="auto"/>
            </w:tcBorders>
            <w:vAlign w:val="center"/>
          </w:tcPr>
          <w:p w14:paraId="0897B5B4" w14:textId="77777777" w:rsidR="003C5108" w:rsidRDefault="003C5108" w:rsidP="000E6C83"/>
        </w:tc>
      </w:tr>
      <w:tr w:rsidR="003C5108" w14:paraId="22F4602A" w14:textId="77777777" w:rsidTr="000E6C83">
        <w:trPr>
          <w:trHeight w:val="345"/>
        </w:trPr>
        <w:tc>
          <w:tcPr>
            <w:tcW w:w="1519" w:type="dxa"/>
            <w:vMerge/>
            <w:tcBorders>
              <w:top w:val="single" w:sz="0" w:space="0" w:color="auto"/>
              <w:left w:val="single" w:sz="0" w:space="0" w:color="auto"/>
              <w:bottom w:val="single" w:sz="0" w:space="0" w:color="auto"/>
              <w:right w:val="single" w:sz="0" w:space="0" w:color="auto"/>
            </w:tcBorders>
            <w:vAlign w:val="center"/>
          </w:tcPr>
          <w:p w14:paraId="29DA4CEC" w14:textId="77777777" w:rsidR="003C5108" w:rsidRDefault="003C5108" w:rsidP="000E6C83"/>
        </w:tc>
        <w:tc>
          <w:tcPr>
            <w:tcW w:w="825" w:type="dxa"/>
            <w:vMerge/>
            <w:tcBorders>
              <w:top w:val="single" w:sz="0" w:space="0" w:color="auto"/>
              <w:left w:val="single" w:sz="0" w:space="0" w:color="auto"/>
              <w:bottom w:val="single" w:sz="0" w:space="0" w:color="auto"/>
              <w:right w:val="single" w:sz="0" w:space="0" w:color="auto"/>
            </w:tcBorders>
            <w:vAlign w:val="center"/>
          </w:tcPr>
          <w:p w14:paraId="36C5BD19" w14:textId="77777777" w:rsidR="003C5108" w:rsidRDefault="003C5108" w:rsidP="000E6C83"/>
        </w:tc>
        <w:tc>
          <w:tcPr>
            <w:tcW w:w="1357" w:type="dxa"/>
            <w:tcBorders>
              <w:top w:val="single" w:sz="8" w:space="0" w:color="auto"/>
              <w:left w:val="nil"/>
              <w:bottom w:val="single" w:sz="8" w:space="0" w:color="auto"/>
              <w:right w:val="single" w:sz="8" w:space="0" w:color="auto"/>
            </w:tcBorders>
            <w:tcMar>
              <w:left w:w="108" w:type="dxa"/>
              <w:right w:w="108" w:type="dxa"/>
            </w:tcMar>
          </w:tcPr>
          <w:p w14:paraId="5AF426DF"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95%</w:t>
            </w:r>
          </w:p>
        </w:tc>
        <w:tc>
          <w:tcPr>
            <w:tcW w:w="9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41B17"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5.54%</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1038A4"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£999</w:t>
            </w:r>
          </w:p>
        </w:tc>
        <w:tc>
          <w:tcPr>
            <w:tcW w:w="2517" w:type="dxa"/>
            <w:vMerge/>
            <w:tcBorders>
              <w:top w:val="single" w:sz="0" w:space="0" w:color="auto"/>
              <w:left w:val="single" w:sz="0" w:space="0" w:color="auto"/>
              <w:bottom w:val="single" w:sz="0" w:space="0" w:color="auto"/>
              <w:right w:val="single" w:sz="0" w:space="0" w:color="auto"/>
            </w:tcBorders>
            <w:vAlign w:val="center"/>
          </w:tcPr>
          <w:p w14:paraId="2F59CC03" w14:textId="77777777" w:rsidR="003C5108" w:rsidRDefault="003C5108" w:rsidP="000E6C83"/>
        </w:tc>
      </w:tr>
    </w:tbl>
    <w:p w14:paraId="1419F344" w14:textId="77777777" w:rsidR="003C5108" w:rsidRDefault="003C5108" w:rsidP="003C5108">
      <w:pPr>
        <w:spacing w:after="0"/>
        <w:jc w:val="center"/>
        <w:rPr>
          <w:rFonts w:ascii="Arial" w:eastAsia="Arial" w:hAnsi="Arial" w:cs="Arial"/>
          <w:sz w:val="20"/>
          <w:szCs w:val="20"/>
        </w:rPr>
      </w:pPr>
      <w:r w:rsidRPr="27152833">
        <w:rPr>
          <w:rFonts w:ascii="Arial" w:eastAsia="Arial" w:hAnsi="Arial" w:cs="Arial"/>
          <w:sz w:val="20"/>
          <w:szCs w:val="20"/>
        </w:rPr>
        <w:t xml:space="preserve"> </w:t>
      </w:r>
    </w:p>
    <w:p w14:paraId="42964089" w14:textId="77777777" w:rsidR="003C5108" w:rsidRDefault="003C5108" w:rsidP="003C5108">
      <w:pPr>
        <w:spacing w:after="0"/>
        <w:jc w:val="center"/>
        <w:rPr>
          <w:rFonts w:ascii="Arial" w:eastAsia="Arial" w:hAnsi="Arial" w:cs="Arial"/>
          <w:sz w:val="20"/>
          <w:szCs w:val="20"/>
        </w:rPr>
      </w:pPr>
      <w:r w:rsidRPr="27152833">
        <w:rPr>
          <w:rFonts w:ascii="Arial" w:eastAsia="Arial" w:hAnsi="Arial" w:cs="Arial"/>
          <w:sz w:val="20"/>
          <w:szCs w:val="20"/>
        </w:rPr>
        <w:t xml:space="preserve"> </w:t>
      </w:r>
    </w:p>
    <w:tbl>
      <w:tblPr>
        <w:tblW w:w="0" w:type="auto"/>
        <w:tblLook w:val="04A0" w:firstRow="1" w:lastRow="0" w:firstColumn="1" w:lastColumn="0" w:noHBand="0" w:noVBand="1"/>
      </w:tblPr>
      <w:tblGrid>
        <w:gridCol w:w="1528"/>
        <w:gridCol w:w="836"/>
        <w:gridCol w:w="1320"/>
        <w:gridCol w:w="1094"/>
        <w:gridCol w:w="1751"/>
        <w:gridCol w:w="2477"/>
      </w:tblGrid>
      <w:tr w:rsidR="003C5108" w14:paraId="2D086D6A" w14:textId="77777777" w:rsidTr="000E6C83">
        <w:trPr>
          <w:trHeight w:val="300"/>
        </w:trPr>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19369087" w14:textId="77777777" w:rsidR="003C5108" w:rsidRDefault="003C5108" w:rsidP="000E6C83">
            <w:pPr>
              <w:spacing w:after="0"/>
              <w:jc w:val="center"/>
              <w:rPr>
                <w:rFonts w:ascii="Arial" w:eastAsia="Arial" w:hAnsi="Arial" w:cs="Arial"/>
                <w:b/>
                <w:bCs/>
                <w:sz w:val="20"/>
                <w:szCs w:val="20"/>
              </w:rPr>
            </w:pPr>
          </w:p>
        </w:tc>
        <w:tc>
          <w:tcPr>
            <w:tcW w:w="844" w:type="dxa"/>
            <w:tcBorders>
              <w:top w:val="single" w:sz="8" w:space="0" w:color="auto"/>
              <w:left w:val="single" w:sz="8" w:space="0" w:color="auto"/>
              <w:bottom w:val="single" w:sz="8" w:space="0" w:color="auto"/>
              <w:right w:val="single" w:sz="8" w:space="0" w:color="auto"/>
            </w:tcBorders>
            <w:tcMar>
              <w:left w:w="108" w:type="dxa"/>
              <w:right w:w="108" w:type="dxa"/>
            </w:tcMar>
          </w:tcPr>
          <w:p w14:paraId="5D534CD4"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Term</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5FB74D49"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Max LTV</w:t>
            </w:r>
          </w:p>
        </w:tc>
        <w:tc>
          <w:tcPr>
            <w:tcW w:w="1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1CD56B"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Rate</w:t>
            </w:r>
          </w:p>
        </w:tc>
        <w:tc>
          <w:tcPr>
            <w:tcW w:w="17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432ED"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Completion Fee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tcPr>
          <w:p w14:paraId="4C928BC2"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Incentives</w:t>
            </w:r>
          </w:p>
        </w:tc>
      </w:tr>
      <w:tr w:rsidR="003C5108" w14:paraId="15C897D6" w14:textId="77777777" w:rsidTr="000E6C83">
        <w:trPr>
          <w:trHeight w:val="195"/>
        </w:trPr>
        <w:tc>
          <w:tcPr>
            <w:tcW w:w="153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75A507A" w14:textId="77777777" w:rsidR="003C5108" w:rsidRDefault="003C5108" w:rsidP="000E6C83">
            <w:pPr>
              <w:spacing w:after="0"/>
              <w:jc w:val="center"/>
              <w:rPr>
                <w:rFonts w:ascii="Arial" w:eastAsia="Arial" w:hAnsi="Arial" w:cs="Arial"/>
                <w:b/>
                <w:bCs/>
                <w:sz w:val="20"/>
                <w:szCs w:val="20"/>
              </w:rPr>
            </w:pPr>
            <w:r w:rsidRPr="27152833">
              <w:rPr>
                <w:rFonts w:ascii="Arial" w:eastAsia="Arial" w:hAnsi="Arial" w:cs="Arial"/>
                <w:b/>
                <w:bCs/>
                <w:sz w:val="20"/>
                <w:szCs w:val="20"/>
              </w:rPr>
              <w:t>Home movers &amp; Remortgages</w:t>
            </w:r>
          </w:p>
        </w:tc>
        <w:tc>
          <w:tcPr>
            <w:tcW w:w="844"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ECE316A"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5yrs</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674A61DC"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80%</w:t>
            </w:r>
          </w:p>
        </w:tc>
        <w:tc>
          <w:tcPr>
            <w:tcW w:w="1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991129"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5.20%</w:t>
            </w:r>
          </w:p>
        </w:tc>
        <w:tc>
          <w:tcPr>
            <w:tcW w:w="17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341C60"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£0</w:t>
            </w:r>
          </w:p>
        </w:tc>
        <w:tc>
          <w:tcPr>
            <w:tcW w:w="2549"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C31577B"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Free standard valuation</w:t>
            </w:r>
          </w:p>
          <w:p w14:paraId="7BF5E3E5"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 xml:space="preserve"> </w:t>
            </w:r>
          </w:p>
          <w:p w14:paraId="2334BCB5"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Fees assisted legal service for remortgages</w:t>
            </w:r>
          </w:p>
          <w:p w14:paraId="3938309D"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 xml:space="preserve"> </w:t>
            </w:r>
          </w:p>
          <w:p w14:paraId="3BADCE1A" w14:textId="77777777" w:rsidR="003C5108" w:rsidRDefault="003C5108" w:rsidP="000E6C83">
            <w:pPr>
              <w:spacing w:after="0"/>
              <w:jc w:val="center"/>
              <w:rPr>
                <w:rFonts w:ascii="Arial" w:eastAsia="Arial" w:hAnsi="Arial" w:cs="Arial"/>
                <w:sz w:val="20"/>
                <w:szCs w:val="20"/>
              </w:rPr>
            </w:pPr>
            <w:r w:rsidRPr="27152833">
              <w:rPr>
                <w:rFonts w:ascii="Arial" w:eastAsia="Arial" w:hAnsi="Arial" w:cs="Arial"/>
                <w:sz w:val="20"/>
                <w:szCs w:val="20"/>
              </w:rPr>
              <w:t>10% penalty free capital over repayments p.a.</w:t>
            </w:r>
          </w:p>
        </w:tc>
      </w:tr>
    </w:tbl>
    <w:p w14:paraId="612880F7" w14:textId="77777777" w:rsidR="003C5108" w:rsidRDefault="003C5108" w:rsidP="00595EFC">
      <w:pPr>
        <w:spacing w:line="240" w:lineRule="auto"/>
        <w:rPr>
          <w:rFonts w:ascii="Arial" w:hAnsi="Arial" w:cs="Arial"/>
        </w:rPr>
      </w:pPr>
    </w:p>
    <w:p w14:paraId="16410934" w14:textId="6A152B91" w:rsidR="00595EFC" w:rsidRDefault="00595EFC" w:rsidP="00595EFC">
      <w:pPr>
        <w:spacing w:line="240" w:lineRule="auto"/>
        <w:rPr>
          <w:rFonts w:ascii="Arial" w:hAnsi="Arial" w:cs="Arial"/>
          <w:color w:val="EE0000"/>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2976"/>
        <w:gridCol w:w="2843"/>
      </w:tblGrid>
      <w:tr w:rsidR="008B3D6E" w:rsidRPr="008B3D6E" w14:paraId="11507A22" w14:textId="77777777" w:rsidTr="008B3D6E">
        <w:trPr>
          <w:trHeight w:val="300"/>
        </w:trPr>
        <w:tc>
          <w:tcPr>
            <w:tcW w:w="3191" w:type="dxa"/>
            <w:tcBorders>
              <w:top w:val="single" w:sz="6" w:space="0" w:color="auto"/>
              <w:left w:val="single" w:sz="6" w:space="0" w:color="auto"/>
              <w:bottom w:val="single" w:sz="6" w:space="0" w:color="auto"/>
              <w:right w:val="single" w:sz="6" w:space="0" w:color="auto"/>
            </w:tcBorders>
            <w:hideMark/>
          </w:tcPr>
          <w:p w14:paraId="350EDD20" w14:textId="77777777" w:rsidR="008B3D6E" w:rsidRPr="008B3D6E" w:rsidRDefault="008B3D6E" w:rsidP="008B3D6E">
            <w:pPr>
              <w:spacing w:line="240" w:lineRule="auto"/>
              <w:rPr>
                <w:rFonts w:ascii="Arial" w:hAnsi="Arial" w:cs="Arial"/>
              </w:rPr>
            </w:pPr>
            <w:r w:rsidRPr="008B3D6E">
              <w:rPr>
                <w:rFonts w:ascii="Arial" w:hAnsi="Arial" w:cs="Arial"/>
              </w:rPr>
              <w:t> </w:t>
            </w:r>
          </w:p>
        </w:tc>
        <w:tc>
          <w:tcPr>
            <w:tcW w:w="5819" w:type="dxa"/>
            <w:gridSpan w:val="2"/>
            <w:tcBorders>
              <w:top w:val="single" w:sz="6" w:space="0" w:color="auto"/>
              <w:left w:val="single" w:sz="6" w:space="0" w:color="auto"/>
              <w:bottom w:val="single" w:sz="6" w:space="0" w:color="auto"/>
              <w:right w:val="single" w:sz="6" w:space="0" w:color="auto"/>
            </w:tcBorders>
            <w:shd w:val="clear" w:color="auto" w:fill="FFC000"/>
            <w:hideMark/>
          </w:tcPr>
          <w:p w14:paraId="1645DD88" w14:textId="77777777" w:rsidR="008B3D6E" w:rsidRPr="008B3D6E" w:rsidRDefault="008B3D6E" w:rsidP="008B3D6E">
            <w:pPr>
              <w:spacing w:line="240" w:lineRule="auto"/>
              <w:rPr>
                <w:rFonts w:ascii="Arial" w:hAnsi="Arial" w:cs="Arial"/>
              </w:rPr>
            </w:pPr>
            <w:r w:rsidRPr="008B3D6E">
              <w:rPr>
                <w:rFonts w:ascii="Arial" w:hAnsi="Arial" w:cs="Arial"/>
                <w:b/>
                <w:bCs/>
              </w:rPr>
              <w:t>Next steppers</w:t>
            </w:r>
            <w:r w:rsidRPr="008B3D6E">
              <w:rPr>
                <w:rFonts w:ascii="Arial" w:hAnsi="Arial" w:cs="Arial"/>
              </w:rPr>
              <w:t> </w:t>
            </w:r>
          </w:p>
        </w:tc>
      </w:tr>
      <w:tr w:rsidR="008B3D6E" w:rsidRPr="008B3D6E" w14:paraId="38D40C51" w14:textId="77777777" w:rsidTr="008B3D6E">
        <w:trPr>
          <w:trHeight w:val="300"/>
        </w:trPr>
        <w:tc>
          <w:tcPr>
            <w:tcW w:w="3191" w:type="dxa"/>
            <w:tcBorders>
              <w:top w:val="single" w:sz="6" w:space="0" w:color="auto"/>
              <w:left w:val="single" w:sz="6" w:space="0" w:color="auto"/>
              <w:bottom w:val="single" w:sz="6" w:space="0" w:color="auto"/>
              <w:right w:val="single" w:sz="6" w:space="0" w:color="auto"/>
            </w:tcBorders>
            <w:shd w:val="clear" w:color="auto" w:fill="FFFF00"/>
            <w:hideMark/>
          </w:tcPr>
          <w:p w14:paraId="576A2804" w14:textId="77777777" w:rsidR="008B3D6E" w:rsidRPr="008B3D6E" w:rsidRDefault="008B3D6E" w:rsidP="008B3D6E">
            <w:pPr>
              <w:spacing w:line="240" w:lineRule="auto"/>
              <w:rPr>
                <w:rFonts w:ascii="Arial" w:hAnsi="Arial" w:cs="Arial"/>
              </w:rPr>
            </w:pPr>
            <w:r w:rsidRPr="008B3D6E">
              <w:rPr>
                <w:rFonts w:ascii="Arial" w:hAnsi="Arial" w:cs="Arial"/>
                <w:b/>
                <w:bCs/>
              </w:rPr>
              <w:t>Minimum household income</w:t>
            </w:r>
            <w:r w:rsidRPr="008B3D6E">
              <w:rPr>
                <w:rFonts w:ascii="Arial" w:hAnsi="Arial" w:cs="Arial"/>
              </w:rPr>
              <w:t> </w:t>
            </w:r>
          </w:p>
        </w:tc>
        <w:tc>
          <w:tcPr>
            <w:tcW w:w="2976" w:type="dxa"/>
            <w:tcBorders>
              <w:top w:val="single" w:sz="6" w:space="0" w:color="auto"/>
              <w:left w:val="single" w:sz="6" w:space="0" w:color="auto"/>
              <w:bottom w:val="single" w:sz="6" w:space="0" w:color="auto"/>
              <w:right w:val="single" w:sz="6" w:space="0" w:color="auto"/>
            </w:tcBorders>
            <w:shd w:val="clear" w:color="auto" w:fill="FFFF00"/>
            <w:hideMark/>
          </w:tcPr>
          <w:p w14:paraId="1E8E0E1A" w14:textId="77777777" w:rsidR="008B3D6E" w:rsidRPr="008B3D6E" w:rsidRDefault="008B3D6E" w:rsidP="008B3D6E">
            <w:pPr>
              <w:spacing w:line="240" w:lineRule="auto"/>
              <w:rPr>
                <w:rFonts w:ascii="Arial" w:hAnsi="Arial" w:cs="Arial"/>
              </w:rPr>
            </w:pPr>
            <w:r w:rsidRPr="008B3D6E">
              <w:rPr>
                <w:rFonts w:ascii="Arial" w:hAnsi="Arial" w:cs="Arial"/>
              </w:rPr>
              <w:t>£50,000 </w:t>
            </w:r>
          </w:p>
        </w:tc>
        <w:tc>
          <w:tcPr>
            <w:tcW w:w="2843" w:type="dxa"/>
            <w:tcBorders>
              <w:top w:val="single" w:sz="6" w:space="0" w:color="auto"/>
              <w:left w:val="single" w:sz="6" w:space="0" w:color="auto"/>
              <w:bottom w:val="single" w:sz="6" w:space="0" w:color="auto"/>
              <w:right w:val="single" w:sz="6" w:space="0" w:color="auto"/>
            </w:tcBorders>
            <w:shd w:val="clear" w:color="auto" w:fill="FFFF00"/>
            <w:hideMark/>
          </w:tcPr>
          <w:p w14:paraId="4ABFBD75" w14:textId="77777777" w:rsidR="008B3D6E" w:rsidRPr="008B3D6E" w:rsidRDefault="008B3D6E" w:rsidP="008B3D6E">
            <w:pPr>
              <w:spacing w:line="240" w:lineRule="auto"/>
              <w:rPr>
                <w:rFonts w:ascii="Arial" w:hAnsi="Arial" w:cs="Arial"/>
              </w:rPr>
            </w:pPr>
            <w:r w:rsidRPr="008B3D6E">
              <w:rPr>
                <w:rFonts w:ascii="Arial" w:hAnsi="Arial" w:cs="Arial"/>
              </w:rPr>
              <w:t>£75,000 </w:t>
            </w:r>
          </w:p>
        </w:tc>
      </w:tr>
      <w:tr w:rsidR="008B3D6E" w:rsidRPr="008B3D6E" w14:paraId="032CE958" w14:textId="77777777" w:rsidTr="008B3D6E">
        <w:trPr>
          <w:trHeight w:val="300"/>
        </w:trPr>
        <w:tc>
          <w:tcPr>
            <w:tcW w:w="3191" w:type="dxa"/>
            <w:tcBorders>
              <w:top w:val="single" w:sz="6" w:space="0" w:color="auto"/>
              <w:left w:val="single" w:sz="6" w:space="0" w:color="auto"/>
              <w:bottom w:val="single" w:sz="6" w:space="0" w:color="auto"/>
              <w:right w:val="single" w:sz="6" w:space="0" w:color="auto"/>
            </w:tcBorders>
            <w:shd w:val="clear" w:color="auto" w:fill="00B0F0"/>
            <w:hideMark/>
          </w:tcPr>
          <w:p w14:paraId="39E95EF6" w14:textId="77777777" w:rsidR="008B3D6E" w:rsidRPr="008B3D6E" w:rsidRDefault="008B3D6E" w:rsidP="008B3D6E">
            <w:pPr>
              <w:spacing w:line="240" w:lineRule="auto"/>
              <w:rPr>
                <w:rFonts w:ascii="Arial" w:hAnsi="Arial" w:cs="Arial"/>
              </w:rPr>
            </w:pPr>
            <w:r w:rsidRPr="008B3D6E">
              <w:rPr>
                <w:rFonts w:ascii="Arial" w:hAnsi="Arial" w:cs="Arial"/>
                <w:b/>
                <w:bCs/>
              </w:rPr>
              <w:t>Standard application</w:t>
            </w:r>
            <w:r w:rsidRPr="008B3D6E">
              <w:rPr>
                <w:rFonts w:ascii="Arial" w:hAnsi="Arial" w:cs="Arial"/>
              </w:rPr>
              <w:t> </w:t>
            </w:r>
          </w:p>
        </w:tc>
        <w:tc>
          <w:tcPr>
            <w:tcW w:w="2976" w:type="dxa"/>
            <w:tcBorders>
              <w:top w:val="single" w:sz="6" w:space="0" w:color="auto"/>
              <w:left w:val="single" w:sz="6" w:space="0" w:color="auto"/>
              <w:bottom w:val="single" w:sz="6" w:space="0" w:color="auto"/>
              <w:right w:val="single" w:sz="6" w:space="0" w:color="auto"/>
            </w:tcBorders>
            <w:shd w:val="clear" w:color="auto" w:fill="00B0F0"/>
            <w:hideMark/>
          </w:tcPr>
          <w:p w14:paraId="48ECCD8C" w14:textId="77777777" w:rsidR="008B3D6E" w:rsidRPr="008B3D6E" w:rsidRDefault="008B3D6E" w:rsidP="008B3D6E">
            <w:pPr>
              <w:spacing w:line="240" w:lineRule="auto"/>
              <w:rPr>
                <w:rFonts w:ascii="Arial" w:hAnsi="Arial" w:cs="Arial"/>
              </w:rPr>
            </w:pPr>
            <w:r w:rsidRPr="008B3D6E">
              <w:rPr>
                <w:rFonts w:ascii="Arial" w:hAnsi="Arial" w:cs="Arial"/>
              </w:rPr>
              <w:t>£224,500 </w:t>
            </w:r>
          </w:p>
        </w:tc>
        <w:tc>
          <w:tcPr>
            <w:tcW w:w="2843" w:type="dxa"/>
            <w:tcBorders>
              <w:top w:val="single" w:sz="6" w:space="0" w:color="auto"/>
              <w:left w:val="single" w:sz="6" w:space="0" w:color="auto"/>
              <w:bottom w:val="single" w:sz="6" w:space="0" w:color="auto"/>
              <w:right w:val="single" w:sz="6" w:space="0" w:color="auto"/>
            </w:tcBorders>
            <w:shd w:val="clear" w:color="auto" w:fill="00B0F0"/>
            <w:hideMark/>
          </w:tcPr>
          <w:p w14:paraId="3F9646F5" w14:textId="77777777" w:rsidR="008B3D6E" w:rsidRPr="008B3D6E" w:rsidRDefault="008B3D6E" w:rsidP="008B3D6E">
            <w:pPr>
              <w:spacing w:line="240" w:lineRule="auto"/>
              <w:rPr>
                <w:rFonts w:ascii="Arial" w:hAnsi="Arial" w:cs="Arial"/>
              </w:rPr>
            </w:pPr>
            <w:r w:rsidRPr="008B3D6E">
              <w:rPr>
                <w:rFonts w:ascii="Arial" w:hAnsi="Arial" w:cs="Arial"/>
              </w:rPr>
              <w:t>£336,750 </w:t>
            </w:r>
          </w:p>
        </w:tc>
      </w:tr>
      <w:tr w:rsidR="008B3D6E" w:rsidRPr="008B3D6E" w14:paraId="6EBD2A4E" w14:textId="77777777" w:rsidTr="008B3D6E">
        <w:trPr>
          <w:trHeight w:val="300"/>
        </w:trPr>
        <w:tc>
          <w:tcPr>
            <w:tcW w:w="3191" w:type="dxa"/>
            <w:tcBorders>
              <w:top w:val="single" w:sz="6" w:space="0" w:color="auto"/>
              <w:left w:val="single" w:sz="6" w:space="0" w:color="auto"/>
              <w:bottom w:val="single" w:sz="6" w:space="0" w:color="auto"/>
              <w:right w:val="single" w:sz="6" w:space="0" w:color="auto"/>
            </w:tcBorders>
            <w:shd w:val="clear" w:color="auto" w:fill="00B0F0"/>
            <w:hideMark/>
          </w:tcPr>
          <w:p w14:paraId="6D007B41" w14:textId="77777777" w:rsidR="008B3D6E" w:rsidRPr="008B3D6E" w:rsidRDefault="008B3D6E" w:rsidP="008B3D6E">
            <w:pPr>
              <w:spacing w:line="240" w:lineRule="auto"/>
              <w:rPr>
                <w:rFonts w:ascii="Arial" w:hAnsi="Arial" w:cs="Arial"/>
              </w:rPr>
            </w:pPr>
            <w:r w:rsidRPr="008B3D6E">
              <w:rPr>
                <w:rFonts w:ascii="Arial" w:hAnsi="Arial" w:cs="Arial"/>
                <w:b/>
                <w:bCs/>
              </w:rPr>
              <w:t>Maximum loan to income</w:t>
            </w:r>
            <w:r w:rsidRPr="008B3D6E">
              <w:rPr>
                <w:rFonts w:ascii="Arial" w:hAnsi="Arial" w:cs="Arial"/>
              </w:rPr>
              <w:t> </w:t>
            </w:r>
          </w:p>
        </w:tc>
        <w:tc>
          <w:tcPr>
            <w:tcW w:w="2976" w:type="dxa"/>
            <w:tcBorders>
              <w:top w:val="single" w:sz="6" w:space="0" w:color="auto"/>
              <w:left w:val="single" w:sz="6" w:space="0" w:color="auto"/>
              <w:bottom w:val="single" w:sz="6" w:space="0" w:color="auto"/>
              <w:right w:val="single" w:sz="6" w:space="0" w:color="auto"/>
            </w:tcBorders>
            <w:shd w:val="clear" w:color="auto" w:fill="00B0F0"/>
            <w:hideMark/>
          </w:tcPr>
          <w:p w14:paraId="468565D9" w14:textId="77777777" w:rsidR="008B3D6E" w:rsidRPr="008B3D6E" w:rsidRDefault="008B3D6E" w:rsidP="008B3D6E">
            <w:pPr>
              <w:spacing w:line="240" w:lineRule="auto"/>
              <w:rPr>
                <w:rFonts w:ascii="Arial" w:hAnsi="Arial" w:cs="Arial"/>
              </w:rPr>
            </w:pPr>
            <w:r w:rsidRPr="008B3D6E">
              <w:rPr>
                <w:rFonts w:ascii="Arial" w:hAnsi="Arial" w:cs="Arial"/>
              </w:rPr>
              <w:t>4.49x </w:t>
            </w:r>
          </w:p>
        </w:tc>
        <w:tc>
          <w:tcPr>
            <w:tcW w:w="2843" w:type="dxa"/>
            <w:tcBorders>
              <w:top w:val="single" w:sz="6" w:space="0" w:color="auto"/>
              <w:left w:val="single" w:sz="6" w:space="0" w:color="auto"/>
              <w:bottom w:val="single" w:sz="6" w:space="0" w:color="auto"/>
              <w:right w:val="single" w:sz="6" w:space="0" w:color="auto"/>
            </w:tcBorders>
            <w:shd w:val="clear" w:color="auto" w:fill="00B0F0"/>
            <w:hideMark/>
          </w:tcPr>
          <w:p w14:paraId="06A122B5" w14:textId="77777777" w:rsidR="008B3D6E" w:rsidRPr="008B3D6E" w:rsidRDefault="008B3D6E" w:rsidP="008B3D6E">
            <w:pPr>
              <w:spacing w:line="240" w:lineRule="auto"/>
              <w:rPr>
                <w:rFonts w:ascii="Arial" w:hAnsi="Arial" w:cs="Arial"/>
              </w:rPr>
            </w:pPr>
            <w:r w:rsidRPr="008B3D6E">
              <w:rPr>
                <w:rFonts w:ascii="Arial" w:hAnsi="Arial" w:cs="Arial"/>
              </w:rPr>
              <w:t>4.49x </w:t>
            </w:r>
          </w:p>
        </w:tc>
      </w:tr>
      <w:tr w:rsidR="008B3D6E" w:rsidRPr="008B3D6E" w14:paraId="5E9E935D" w14:textId="77777777" w:rsidTr="008B3D6E">
        <w:trPr>
          <w:trHeight w:val="300"/>
        </w:trPr>
        <w:tc>
          <w:tcPr>
            <w:tcW w:w="3191" w:type="dxa"/>
            <w:tcBorders>
              <w:top w:val="single" w:sz="6" w:space="0" w:color="auto"/>
              <w:left w:val="single" w:sz="6" w:space="0" w:color="auto"/>
              <w:bottom w:val="single" w:sz="6" w:space="0" w:color="auto"/>
              <w:right w:val="single" w:sz="6" w:space="0" w:color="auto"/>
            </w:tcBorders>
            <w:shd w:val="clear" w:color="auto" w:fill="002060"/>
            <w:hideMark/>
          </w:tcPr>
          <w:p w14:paraId="6A0CE726" w14:textId="77777777" w:rsidR="008B3D6E" w:rsidRPr="008B3D6E" w:rsidRDefault="008B3D6E" w:rsidP="008B3D6E">
            <w:pPr>
              <w:spacing w:line="240" w:lineRule="auto"/>
              <w:rPr>
                <w:rFonts w:ascii="Arial" w:hAnsi="Arial" w:cs="Arial"/>
              </w:rPr>
            </w:pPr>
            <w:r w:rsidRPr="008B3D6E">
              <w:rPr>
                <w:rFonts w:ascii="Arial" w:hAnsi="Arial" w:cs="Arial"/>
                <w:b/>
                <w:bCs/>
              </w:rPr>
              <w:t>Income Plus</w:t>
            </w:r>
            <w:r w:rsidRPr="008B3D6E">
              <w:rPr>
                <w:rFonts w:ascii="Arial" w:hAnsi="Arial" w:cs="Arial"/>
              </w:rPr>
              <w:t> </w:t>
            </w:r>
          </w:p>
        </w:tc>
        <w:tc>
          <w:tcPr>
            <w:tcW w:w="2976" w:type="dxa"/>
            <w:tcBorders>
              <w:top w:val="single" w:sz="6" w:space="0" w:color="auto"/>
              <w:left w:val="single" w:sz="6" w:space="0" w:color="auto"/>
              <w:bottom w:val="single" w:sz="6" w:space="0" w:color="auto"/>
              <w:right w:val="single" w:sz="6" w:space="0" w:color="auto"/>
            </w:tcBorders>
            <w:shd w:val="clear" w:color="auto" w:fill="002060"/>
            <w:hideMark/>
          </w:tcPr>
          <w:p w14:paraId="0C0C7D8A" w14:textId="77777777" w:rsidR="008B3D6E" w:rsidRPr="008B3D6E" w:rsidRDefault="008B3D6E" w:rsidP="008B3D6E">
            <w:pPr>
              <w:spacing w:line="240" w:lineRule="auto"/>
              <w:rPr>
                <w:rFonts w:ascii="Arial" w:hAnsi="Arial" w:cs="Arial"/>
              </w:rPr>
            </w:pPr>
            <w:r w:rsidRPr="008B3D6E">
              <w:rPr>
                <w:rFonts w:ascii="Arial" w:hAnsi="Arial" w:cs="Arial"/>
              </w:rPr>
              <w:t>£275,000 </w:t>
            </w:r>
          </w:p>
        </w:tc>
        <w:tc>
          <w:tcPr>
            <w:tcW w:w="2843" w:type="dxa"/>
            <w:tcBorders>
              <w:top w:val="single" w:sz="6" w:space="0" w:color="auto"/>
              <w:left w:val="single" w:sz="6" w:space="0" w:color="auto"/>
              <w:bottom w:val="single" w:sz="6" w:space="0" w:color="auto"/>
              <w:right w:val="single" w:sz="6" w:space="0" w:color="auto"/>
            </w:tcBorders>
            <w:shd w:val="clear" w:color="auto" w:fill="002060"/>
            <w:hideMark/>
          </w:tcPr>
          <w:p w14:paraId="5638DDB7" w14:textId="77777777" w:rsidR="008B3D6E" w:rsidRPr="008B3D6E" w:rsidRDefault="008B3D6E" w:rsidP="008B3D6E">
            <w:pPr>
              <w:spacing w:line="240" w:lineRule="auto"/>
              <w:rPr>
                <w:rFonts w:ascii="Arial" w:hAnsi="Arial" w:cs="Arial"/>
              </w:rPr>
            </w:pPr>
            <w:r w:rsidRPr="008B3D6E">
              <w:rPr>
                <w:rFonts w:ascii="Arial" w:hAnsi="Arial" w:cs="Arial"/>
              </w:rPr>
              <w:t>£450,000 </w:t>
            </w:r>
          </w:p>
        </w:tc>
      </w:tr>
      <w:tr w:rsidR="008B3D6E" w:rsidRPr="008B3D6E" w14:paraId="549EBCB8" w14:textId="77777777" w:rsidTr="008B3D6E">
        <w:trPr>
          <w:trHeight w:val="300"/>
        </w:trPr>
        <w:tc>
          <w:tcPr>
            <w:tcW w:w="3191" w:type="dxa"/>
            <w:tcBorders>
              <w:top w:val="single" w:sz="6" w:space="0" w:color="auto"/>
              <w:left w:val="single" w:sz="6" w:space="0" w:color="auto"/>
              <w:bottom w:val="single" w:sz="6" w:space="0" w:color="auto"/>
              <w:right w:val="single" w:sz="6" w:space="0" w:color="auto"/>
            </w:tcBorders>
            <w:shd w:val="clear" w:color="auto" w:fill="002060"/>
            <w:hideMark/>
          </w:tcPr>
          <w:p w14:paraId="0488477B" w14:textId="77777777" w:rsidR="008B3D6E" w:rsidRPr="008B3D6E" w:rsidRDefault="008B3D6E" w:rsidP="008B3D6E">
            <w:pPr>
              <w:spacing w:line="240" w:lineRule="auto"/>
              <w:rPr>
                <w:rFonts w:ascii="Arial" w:hAnsi="Arial" w:cs="Arial"/>
              </w:rPr>
            </w:pPr>
            <w:r w:rsidRPr="008B3D6E">
              <w:rPr>
                <w:rFonts w:ascii="Arial" w:hAnsi="Arial" w:cs="Arial"/>
                <w:b/>
                <w:bCs/>
              </w:rPr>
              <w:t>Maximum loan to income</w:t>
            </w:r>
            <w:r w:rsidRPr="008B3D6E">
              <w:rPr>
                <w:rFonts w:ascii="Arial" w:hAnsi="Arial" w:cs="Arial"/>
              </w:rPr>
              <w:t> </w:t>
            </w:r>
          </w:p>
        </w:tc>
        <w:tc>
          <w:tcPr>
            <w:tcW w:w="2976" w:type="dxa"/>
            <w:tcBorders>
              <w:top w:val="single" w:sz="6" w:space="0" w:color="auto"/>
              <w:left w:val="single" w:sz="6" w:space="0" w:color="auto"/>
              <w:bottom w:val="single" w:sz="6" w:space="0" w:color="auto"/>
              <w:right w:val="single" w:sz="6" w:space="0" w:color="auto"/>
            </w:tcBorders>
            <w:shd w:val="clear" w:color="auto" w:fill="002060"/>
            <w:hideMark/>
          </w:tcPr>
          <w:p w14:paraId="7B2AF459" w14:textId="77777777" w:rsidR="008B3D6E" w:rsidRPr="008B3D6E" w:rsidRDefault="008B3D6E" w:rsidP="008B3D6E">
            <w:pPr>
              <w:spacing w:line="240" w:lineRule="auto"/>
              <w:rPr>
                <w:rFonts w:ascii="Arial" w:hAnsi="Arial" w:cs="Arial"/>
              </w:rPr>
            </w:pPr>
            <w:r w:rsidRPr="008B3D6E">
              <w:rPr>
                <w:rFonts w:ascii="Arial" w:hAnsi="Arial" w:cs="Arial"/>
              </w:rPr>
              <w:t>5.5x </w:t>
            </w:r>
          </w:p>
        </w:tc>
        <w:tc>
          <w:tcPr>
            <w:tcW w:w="2843" w:type="dxa"/>
            <w:tcBorders>
              <w:top w:val="single" w:sz="6" w:space="0" w:color="auto"/>
              <w:left w:val="single" w:sz="6" w:space="0" w:color="auto"/>
              <w:bottom w:val="single" w:sz="6" w:space="0" w:color="auto"/>
              <w:right w:val="single" w:sz="6" w:space="0" w:color="auto"/>
            </w:tcBorders>
            <w:shd w:val="clear" w:color="auto" w:fill="002060"/>
            <w:hideMark/>
          </w:tcPr>
          <w:p w14:paraId="39ED0327" w14:textId="77777777" w:rsidR="008B3D6E" w:rsidRPr="008B3D6E" w:rsidRDefault="008B3D6E" w:rsidP="008B3D6E">
            <w:pPr>
              <w:spacing w:line="240" w:lineRule="auto"/>
              <w:rPr>
                <w:rFonts w:ascii="Arial" w:hAnsi="Arial" w:cs="Arial"/>
              </w:rPr>
            </w:pPr>
            <w:r w:rsidRPr="008B3D6E">
              <w:rPr>
                <w:rFonts w:ascii="Arial" w:hAnsi="Arial" w:cs="Arial"/>
              </w:rPr>
              <w:t>6x </w:t>
            </w:r>
          </w:p>
        </w:tc>
      </w:tr>
      <w:tr w:rsidR="008B3D6E" w:rsidRPr="008B3D6E" w14:paraId="2B0C3ED1" w14:textId="77777777" w:rsidTr="008B3D6E">
        <w:trPr>
          <w:trHeight w:val="300"/>
        </w:trPr>
        <w:tc>
          <w:tcPr>
            <w:tcW w:w="3191" w:type="dxa"/>
            <w:tcBorders>
              <w:top w:val="single" w:sz="6" w:space="0" w:color="auto"/>
              <w:left w:val="single" w:sz="6" w:space="0" w:color="auto"/>
              <w:bottom w:val="single" w:sz="6" w:space="0" w:color="auto"/>
              <w:right w:val="single" w:sz="6" w:space="0" w:color="auto"/>
            </w:tcBorders>
            <w:shd w:val="clear" w:color="auto" w:fill="FFFF00"/>
            <w:hideMark/>
          </w:tcPr>
          <w:p w14:paraId="68BAB89B" w14:textId="77777777" w:rsidR="008B3D6E" w:rsidRPr="008B3D6E" w:rsidRDefault="008B3D6E" w:rsidP="008B3D6E">
            <w:pPr>
              <w:spacing w:line="240" w:lineRule="auto"/>
              <w:rPr>
                <w:rFonts w:ascii="Arial" w:hAnsi="Arial" w:cs="Arial"/>
              </w:rPr>
            </w:pPr>
            <w:r w:rsidRPr="008B3D6E">
              <w:rPr>
                <w:rFonts w:ascii="Arial" w:hAnsi="Arial" w:cs="Arial"/>
                <w:b/>
                <w:bCs/>
              </w:rPr>
              <w:t>Additional borrowing unlocked</w:t>
            </w:r>
            <w:r w:rsidRPr="008B3D6E">
              <w:rPr>
                <w:rFonts w:ascii="Arial" w:hAnsi="Arial" w:cs="Arial"/>
              </w:rPr>
              <w:t> </w:t>
            </w:r>
          </w:p>
        </w:tc>
        <w:tc>
          <w:tcPr>
            <w:tcW w:w="2976" w:type="dxa"/>
            <w:tcBorders>
              <w:top w:val="single" w:sz="6" w:space="0" w:color="auto"/>
              <w:left w:val="single" w:sz="6" w:space="0" w:color="auto"/>
              <w:bottom w:val="single" w:sz="6" w:space="0" w:color="auto"/>
              <w:right w:val="single" w:sz="6" w:space="0" w:color="auto"/>
            </w:tcBorders>
            <w:shd w:val="clear" w:color="auto" w:fill="FFFF00"/>
            <w:hideMark/>
          </w:tcPr>
          <w:p w14:paraId="5E490360" w14:textId="77777777" w:rsidR="008B3D6E" w:rsidRPr="008B3D6E" w:rsidRDefault="008B3D6E" w:rsidP="008B3D6E">
            <w:pPr>
              <w:spacing w:line="240" w:lineRule="auto"/>
              <w:rPr>
                <w:rFonts w:ascii="Arial" w:hAnsi="Arial" w:cs="Arial"/>
              </w:rPr>
            </w:pPr>
            <w:r w:rsidRPr="008B3D6E">
              <w:rPr>
                <w:rFonts w:ascii="Arial" w:hAnsi="Arial" w:cs="Arial"/>
              </w:rPr>
              <w:t>£50,500 </w:t>
            </w:r>
          </w:p>
        </w:tc>
        <w:tc>
          <w:tcPr>
            <w:tcW w:w="2843" w:type="dxa"/>
            <w:tcBorders>
              <w:top w:val="single" w:sz="6" w:space="0" w:color="auto"/>
              <w:left w:val="single" w:sz="6" w:space="0" w:color="auto"/>
              <w:bottom w:val="single" w:sz="6" w:space="0" w:color="auto"/>
              <w:right w:val="single" w:sz="6" w:space="0" w:color="auto"/>
            </w:tcBorders>
            <w:shd w:val="clear" w:color="auto" w:fill="FFFF00"/>
            <w:hideMark/>
          </w:tcPr>
          <w:p w14:paraId="32135763" w14:textId="77777777" w:rsidR="008B3D6E" w:rsidRPr="008B3D6E" w:rsidRDefault="008B3D6E" w:rsidP="008B3D6E">
            <w:pPr>
              <w:spacing w:line="240" w:lineRule="auto"/>
              <w:rPr>
                <w:rFonts w:ascii="Arial" w:hAnsi="Arial" w:cs="Arial"/>
              </w:rPr>
            </w:pPr>
            <w:r w:rsidRPr="008B3D6E">
              <w:rPr>
                <w:rFonts w:ascii="Arial" w:hAnsi="Arial" w:cs="Arial"/>
              </w:rPr>
              <w:t>£113,250 </w:t>
            </w:r>
          </w:p>
        </w:tc>
      </w:tr>
    </w:tbl>
    <w:p w14:paraId="0FD2A734" w14:textId="77777777" w:rsidR="008B3D6E" w:rsidRPr="008B3D6E" w:rsidRDefault="008B3D6E" w:rsidP="008B3D6E">
      <w:pPr>
        <w:spacing w:line="240" w:lineRule="auto"/>
        <w:rPr>
          <w:rFonts w:ascii="Arial" w:hAnsi="Arial" w:cs="Arial"/>
          <w:lang w:val="en-US"/>
        </w:rPr>
      </w:pPr>
      <w:r w:rsidRPr="008B3D6E">
        <w:rPr>
          <w:rFonts w:ascii="Arial" w:hAnsi="Arial" w:cs="Arial"/>
          <w:lang w:val="en-US"/>
        </w:rPr>
        <w:t> </w:t>
      </w:r>
    </w:p>
    <w:p w14:paraId="00ED0C5F" w14:textId="77777777" w:rsidR="00303708" w:rsidRDefault="00595EFC" w:rsidP="00595EFC">
      <w:pPr>
        <w:spacing w:line="240" w:lineRule="auto"/>
        <w:rPr>
          <w:rFonts w:ascii="Arial" w:hAnsi="Arial" w:cs="Arial"/>
        </w:rPr>
      </w:pPr>
      <w:r w:rsidRPr="00595EFC">
        <w:rPr>
          <w:rFonts w:ascii="Arial" w:hAnsi="Arial" w:cs="Arial"/>
        </w:rPr>
        <w:t xml:space="preserve">Among recent buyers planning </w:t>
      </w:r>
      <w:r w:rsidR="006475A8">
        <w:rPr>
          <w:rFonts w:ascii="Arial" w:hAnsi="Arial" w:cs="Arial"/>
        </w:rPr>
        <w:t>to</w:t>
      </w:r>
      <w:r w:rsidRPr="00595EFC">
        <w:rPr>
          <w:rFonts w:ascii="Arial" w:hAnsi="Arial" w:cs="Arial"/>
        </w:rPr>
        <w:t xml:space="preserve"> move</w:t>
      </w:r>
      <w:r w:rsidR="006475A8">
        <w:rPr>
          <w:rFonts w:ascii="Arial" w:hAnsi="Arial" w:cs="Arial"/>
        </w:rPr>
        <w:t xml:space="preserve"> up the property ladder</w:t>
      </w:r>
      <w:r w:rsidRPr="00595EFC">
        <w:rPr>
          <w:rFonts w:ascii="Arial" w:hAnsi="Arial" w:cs="Arial"/>
        </w:rPr>
        <w:t>, the most common drivers are practical rather than aspirational</w:t>
      </w:r>
      <w:r w:rsidR="006475A8">
        <w:rPr>
          <w:rFonts w:ascii="Arial" w:hAnsi="Arial" w:cs="Arial"/>
        </w:rPr>
        <w:t xml:space="preserve">, </w:t>
      </w:r>
      <w:r w:rsidR="00303708">
        <w:rPr>
          <w:rFonts w:ascii="Arial" w:hAnsi="Arial" w:cs="Arial"/>
        </w:rPr>
        <w:t>though</w:t>
      </w:r>
      <w:r w:rsidR="006475A8">
        <w:rPr>
          <w:rFonts w:ascii="Arial" w:hAnsi="Arial" w:cs="Arial"/>
        </w:rPr>
        <w:t xml:space="preserve"> many </w:t>
      </w:r>
      <w:r w:rsidR="00303708">
        <w:rPr>
          <w:rFonts w:ascii="Arial" w:hAnsi="Arial" w:cs="Arial"/>
        </w:rPr>
        <w:t xml:space="preserve">feel they </w:t>
      </w:r>
      <w:r w:rsidR="00DE12AD">
        <w:rPr>
          <w:rFonts w:ascii="Arial" w:hAnsi="Arial" w:cs="Arial"/>
        </w:rPr>
        <w:t>have been held back</w:t>
      </w:r>
      <w:r w:rsidR="00303708">
        <w:rPr>
          <w:rFonts w:ascii="Arial" w:hAnsi="Arial" w:cs="Arial"/>
        </w:rPr>
        <w:t xml:space="preserve"> by affordability limitations.</w:t>
      </w:r>
    </w:p>
    <w:p w14:paraId="71B392EB" w14:textId="6CE74FCB" w:rsidR="00595EFC" w:rsidRPr="00303708" w:rsidRDefault="00595EFC" w:rsidP="00303708">
      <w:pPr>
        <w:pStyle w:val="ListParagraph"/>
        <w:numPr>
          <w:ilvl w:val="0"/>
          <w:numId w:val="56"/>
        </w:numPr>
        <w:spacing w:line="240" w:lineRule="auto"/>
        <w:rPr>
          <w:rFonts w:ascii="Arial" w:hAnsi="Arial" w:cs="Arial"/>
        </w:rPr>
      </w:pPr>
      <w:r w:rsidRPr="00303708">
        <w:rPr>
          <w:rFonts w:ascii="Arial" w:hAnsi="Arial" w:cs="Arial"/>
        </w:rPr>
        <w:t>Need for more bedrooms – 60%</w:t>
      </w:r>
    </w:p>
    <w:p w14:paraId="11182D0C" w14:textId="77777777" w:rsidR="00595EFC" w:rsidRPr="00303708" w:rsidRDefault="00595EFC" w:rsidP="00303708">
      <w:pPr>
        <w:pStyle w:val="ListParagraph"/>
        <w:numPr>
          <w:ilvl w:val="0"/>
          <w:numId w:val="56"/>
        </w:numPr>
        <w:spacing w:line="240" w:lineRule="auto"/>
        <w:rPr>
          <w:rFonts w:ascii="Arial" w:hAnsi="Arial" w:cs="Arial"/>
        </w:rPr>
      </w:pPr>
      <w:r w:rsidRPr="00303708">
        <w:rPr>
          <w:rFonts w:ascii="Arial" w:hAnsi="Arial" w:cs="Arial"/>
        </w:rPr>
        <w:t>Desire for more space – 49%</w:t>
      </w:r>
    </w:p>
    <w:p w14:paraId="6784D995" w14:textId="77777777" w:rsidR="00595EFC" w:rsidRPr="00303708" w:rsidRDefault="00595EFC" w:rsidP="00303708">
      <w:pPr>
        <w:pStyle w:val="ListParagraph"/>
        <w:numPr>
          <w:ilvl w:val="0"/>
          <w:numId w:val="56"/>
        </w:numPr>
        <w:spacing w:line="240" w:lineRule="auto"/>
        <w:rPr>
          <w:rFonts w:ascii="Arial" w:hAnsi="Arial" w:cs="Arial"/>
        </w:rPr>
      </w:pPr>
      <w:r w:rsidRPr="00303708">
        <w:rPr>
          <w:rFonts w:ascii="Arial" w:hAnsi="Arial" w:cs="Arial"/>
        </w:rPr>
        <w:t>Need for more storage – 46%</w:t>
      </w:r>
    </w:p>
    <w:p w14:paraId="6E9C1A1E" w14:textId="0BF18987" w:rsidR="00595EFC" w:rsidRPr="00303708" w:rsidRDefault="00595EFC" w:rsidP="00303708">
      <w:pPr>
        <w:pStyle w:val="ListParagraph"/>
        <w:numPr>
          <w:ilvl w:val="0"/>
          <w:numId w:val="56"/>
        </w:numPr>
        <w:spacing w:line="240" w:lineRule="auto"/>
        <w:rPr>
          <w:rFonts w:ascii="Arial" w:hAnsi="Arial" w:cs="Arial"/>
        </w:rPr>
      </w:pPr>
      <w:r w:rsidRPr="00303708">
        <w:rPr>
          <w:rFonts w:ascii="Arial" w:hAnsi="Arial" w:cs="Arial"/>
        </w:rPr>
        <w:t xml:space="preserve">Planning for children </w:t>
      </w:r>
      <w:r w:rsidR="008233BE">
        <w:rPr>
          <w:rFonts w:ascii="Arial" w:hAnsi="Arial" w:cs="Arial"/>
        </w:rPr>
        <w:t xml:space="preserve">in the future </w:t>
      </w:r>
      <w:r w:rsidRPr="00303708">
        <w:rPr>
          <w:rFonts w:ascii="Arial" w:hAnsi="Arial" w:cs="Arial"/>
        </w:rPr>
        <w:t>– 45%</w:t>
      </w:r>
    </w:p>
    <w:p w14:paraId="75A2EDCD" w14:textId="77777777" w:rsidR="00595EFC" w:rsidRPr="00303708" w:rsidRDefault="00595EFC" w:rsidP="00303708">
      <w:pPr>
        <w:pStyle w:val="ListParagraph"/>
        <w:numPr>
          <w:ilvl w:val="0"/>
          <w:numId w:val="56"/>
        </w:numPr>
        <w:spacing w:line="240" w:lineRule="auto"/>
        <w:rPr>
          <w:rFonts w:ascii="Arial" w:hAnsi="Arial" w:cs="Arial"/>
        </w:rPr>
      </w:pPr>
      <w:r w:rsidRPr="00303708">
        <w:rPr>
          <w:rFonts w:ascii="Arial" w:hAnsi="Arial" w:cs="Arial"/>
        </w:rPr>
        <w:t>Requirement for outdoor space – 30%</w:t>
      </w:r>
    </w:p>
    <w:p w14:paraId="0689C9E3" w14:textId="77777777" w:rsidR="00595EFC" w:rsidRPr="00303708" w:rsidRDefault="00595EFC" w:rsidP="00303708">
      <w:pPr>
        <w:pStyle w:val="ListParagraph"/>
        <w:numPr>
          <w:ilvl w:val="0"/>
          <w:numId w:val="56"/>
        </w:numPr>
        <w:spacing w:line="240" w:lineRule="auto"/>
        <w:rPr>
          <w:rFonts w:ascii="Arial" w:hAnsi="Arial" w:cs="Arial"/>
        </w:rPr>
      </w:pPr>
      <w:r w:rsidRPr="00303708">
        <w:rPr>
          <w:rFonts w:ascii="Arial" w:hAnsi="Arial" w:cs="Arial"/>
        </w:rPr>
        <w:t>Caring for ageing relatives – 19%</w:t>
      </w:r>
    </w:p>
    <w:p w14:paraId="365C346C" w14:textId="54D3A73B" w:rsidR="00595EFC" w:rsidRPr="00595EFC" w:rsidRDefault="00BE46A8" w:rsidP="00595EFC">
      <w:pPr>
        <w:spacing w:line="240" w:lineRule="auto"/>
        <w:rPr>
          <w:rFonts w:ascii="Arial" w:hAnsi="Arial" w:cs="Arial"/>
        </w:rPr>
      </w:pPr>
      <w:r w:rsidRPr="00BE46A8">
        <w:rPr>
          <w:rFonts w:ascii="Arial" w:hAnsi="Arial" w:cs="Arial"/>
          <w:b/>
          <w:bCs/>
        </w:rPr>
        <w:t>Martese Carton, Director of Mortgage Distribution at</w:t>
      </w:r>
      <w:r w:rsidR="00595EFC" w:rsidRPr="00BE46A8">
        <w:rPr>
          <w:rFonts w:ascii="Arial" w:hAnsi="Arial" w:cs="Arial"/>
          <w:b/>
          <w:bCs/>
        </w:rPr>
        <w:t xml:space="preserve"> Leeds Building Society</w:t>
      </w:r>
      <w:r w:rsidR="00595EFC" w:rsidRPr="00595EFC">
        <w:rPr>
          <w:rFonts w:ascii="Arial" w:hAnsi="Arial" w:cs="Arial"/>
        </w:rPr>
        <w:t xml:space="preserve"> said:</w:t>
      </w:r>
    </w:p>
    <w:p w14:paraId="4FA3F01E" w14:textId="77777777" w:rsidR="00595EFC" w:rsidRPr="00595EFC" w:rsidRDefault="00595EFC" w:rsidP="00595EFC">
      <w:pPr>
        <w:spacing w:line="240" w:lineRule="auto"/>
        <w:rPr>
          <w:rFonts w:ascii="Arial" w:hAnsi="Arial" w:cs="Arial"/>
        </w:rPr>
      </w:pPr>
      <w:r w:rsidRPr="00595EFC">
        <w:rPr>
          <w:rFonts w:ascii="Arial" w:hAnsi="Arial" w:cs="Arial"/>
        </w:rPr>
        <w:t>“We’ve supported members into homeownership for over 150 years, but our research shows that a significant number of recent first-time buyers expect to outgrow their homes far sooner than anticipated.</w:t>
      </w:r>
    </w:p>
    <w:p w14:paraId="5F3F9865" w14:textId="77777777" w:rsidR="00595EFC" w:rsidRPr="00595EFC" w:rsidRDefault="00595EFC" w:rsidP="00595EFC">
      <w:pPr>
        <w:spacing w:line="240" w:lineRule="auto"/>
        <w:rPr>
          <w:rFonts w:ascii="Arial" w:hAnsi="Arial" w:cs="Arial"/>
        </w:rPr>
      </w:pPr>
      <w:r w:rsidRPr="00595EFC">
        <w:rPr>
          <w:rFonts w:ascii="Arial" w:hAnsi="Arial" w:cs="Arial"/>
        </w:rPr>
        <w:t>“The increasing price gap between first and second properties presents a real affordability challenge. Many households need just one additional bedroom, yet the step up in price can be substantial and difficult to bridge under standard income multiples.</w:t>
      </w:r>
    </w:p>
    <w:p w14:paraId="49080C4D" w14:textId="3D002695" w:rsidR="00BC222B" w:rsidRPr="00BC222B" w:rsidRDefault="00595EFC" w:rsidP="00BC222B">
      <w:pPr>
        <w:spacing w:line="240" w:lineRule="auto"/>
        <w:rPr>
          <w:rFonts w:ascii="Arial" w:hAnsi="Arial" w:cs="Arial"/>
        </w:rPr>
      </w:pPr>
      <w:r w:rsidRPr="00595EFC">
        <w:rPr>
          <w:rFonts w:ascii="Arial" w:hAnsi="Arial" w:cs="Arial"/>
        </w:rPr>
        <w:lastRenderedPageBreak/>
        <w:t>“By expanding our Income Plus range, we’re aiming to give next steppers greater borrowing flexibility where it’s affordable to do so, supporting more sustainable home moves and helping keep the housing market flowing.”</w:t>
      </w:r>
    </w:p>
    <w:p w14:paraId="54CCD012" w14:textId="77777777" w:rsidR="00BC222B" w:rsidRPr="00BC222B" w:rsidRDefault="00BC222B" w:rsidP="00BC222B">
      <w:pPr>
        <w:rPr>
          <w:rFonts w:ascii="Arial" w:hAnsi="Arial" w:cs="Arial"/>
          <w:bCs/>
          <w:lang w:val="en-US"/>
        </w:rPr>
      </w:pPr>
      <w:r w:rsidRPr="00BC222B">
        <w:rPr>
          <w:rFonts w:ascii="Arial" w:hAnsi="Arial" w:cs="Arial"/>
          <w:b/>
          <w:lang w:val="en-US"/>
        </w:rPr>
        <w:t xml:space="preserve">David Hollingworth, Associate Director at L&amp;C Mortgages </w:t>
      </w:r>
      <w:r w:rsidRPr="00BC222B">
        <w:rPr>
          <w:rFonts w:ascii="Arial" w:hAnsi="Arial" w:cs="Arial"/>
          <w:bCs/>
          <w:lang w:val="en-US"/>
        </w:rPr>
        <w:t>said:</w:t>
      </w:r>
    </w:p>
    <w:p w14:paraId="5057242C" w14:textId="77777777" w:rsidR="00BC222B" w:rsidRPr="00BC222B" w:rsidRDefault="00BC222B" w:rsidP="00BC222B">
      <w:pPr>
        <w:rPr>
          <w:rFonts w:ascii="Arial" w:hAnsi="Arial" w:cs="Arial"/>
          <w:bCs/>
          <w:lang w:val="en-US"/>
        </w:rPr>
      </w:pPr>
      <w:r w:rsidRPr="00BC222B">
        <w:rPr>
          <w:rFonts w:ascii="Arial" w:hAnsi="Arial" w:cs="Arial"/>
          <w:bCs/>
          <w:lang w:val="en-US"/>
        </w:rPr>
        <w:t xml:space="preserve">“Rightly, there’s been a strong focus on first time buyers having access to more flexible criteria but there can also be a big step up for next time buyers, as they look to upsize to a property that will meet their future needs. </w:t>
      </w:r>
    </w:p>
    <w:p w14:paraId="3A137976" w14:textId="77777777" w:rsidR="00BC222B" w:rsidRPr="00BC222B" w:rsidRDefault="00BC222B" w:rsidP="00BC222B">
      <w:pPr>
        <w:rPr>
          <w:rFonts w:ascii="Arial" w:hAnsi="Arial" w:cs="Arial"/>
          <w:bCs/>
          <w:lang w:val="en-US"/>
        </w:rPr>
      </w:pPr>
      <w:r w:rsidRPr="00BC222B">
        <w:rPr>
          <w:rFonts w:ascii="Arial" w:hAnsi="Arial" w:cs="Arial"/>
          <w:bCs/>
          <w:lang w:val="en-US"/>
        </w:rPr>
        <w:t xml:space="preserve">“Growing families want to avoid the cost and stress of multiple, </w:t>
      </w:r>
      <w:proofErr w:type="gramStart"/>
      <w:r w:rsidRPr="00BC222B">
        <w:rPr>
          <w:rFonts w:ascii="Arial" w:hAnsi="Arial" w:cs="Arial"/>
          <w:bCs/>
          <w:lang w:val="en-US"/>
        </w:rPr>
        <w:t>stepping stone</w:t>
      </w:r>
      <w:proofErr w:type="gramEnd"/>
      <w:r w:rsidRPr="00BC222B">
        <w:rPr>
          <w:rFonts w:ascii="Arial" w:hAnsi="Arial" w:cs="Arial"/>
          <w:bCs/>
          <w:lang w:val="en-US"/>
        </w:rPr>
        <w:t xml:space="preserve"> </w:t>
      </w:r>
      <w:proofErr w:type="spellStart"/>
      <w:r w:rsidRPr="00BC222B">
        <w:rPr>
          <w:rFonts w:ascii="Arial" w:hAnsi="Arial" w:cs="Arial"/>
          <w:bCs/>
          <w:lang w:val="en-US"/>
        </w:rPr>
        <w:t>housemoves</w:t>
      </w:r>
      <w:proofErr w:type="spellEnd"/>
      <w:r w:rsidRPr="00BC222B">
        <w:rPr>
          <w:rFonts w:ascii="Arial" w:hAnsi="Arial" w:cs="Arial"/>
          <w:bCs/>
          <w:lang w:val="en-US"/>
        </w:rPr>
        <w:t xml:space="preserve"> and so will want lenders to have the latitude to apply a measured, more accommodating approach to income multiples, where affordability can be met.  </w:t>
      </w:r>
    </w:p>
    <w:p w14:paraId="0B51A514" w14:textId="77777777" w:rsidR="00BC222B" w:rsidRPr="00BC222B" w:rsidRDefault="00BC222B" w:rsidP="00BC222B">
      <w:pPr>
        <w:rPr>
          <w:rFonts w:ascii="Arial" w:hAnsi="Arial" w:cs="Arial"/>
          <w:bCs/>
          <w:lang w:val="en-US"/>
        </w:rPr>
      </w:pPr>
      <w:r w:rsidRPr="00BC222B">
        <w:rPr>
          <w:rFonts w:ascii="Arial" w:hAnsi="Arial" w:cs="Arial"/>
          <w:bCs/>
          <w:lang w:val="en-US"/>
        </w:rPr>
        <w:t xml:space="preserve">“That will help more next steppers to expand their property search, as they look for a place that they can make their forever home.” </w:t>
      </w:r>
    </w:p>
    <w:p w14:paraId="4CC24BCF" w14:textId="49D4FF44" w:rsidR="007B6B76" w:rsidRDefault="007B6B76" w:rsidP="00BC222B">
      <w:pPr>
        <w:rPr>
          <w:rFonts w:ascii="Arial" w:hAnsi="Arial" w:cs="Arial"/>
          <w:b/>
          <w:lang w:val="en-US"/>
        </w:rPr>
      </w:pPr>
      <w:r w:rsidRPr="00150A53">
        <w:rPr>
          <w:rFonts w:ascii="Arial" w:hAnsi="Arial" w:cs="Arial"/>
          <w:b/>
          <w:lang w:val="en-US"/>
        </w:rPr>
        <w:t>Ends</w:t>
      </w:r>
    </w:p>
    <w:p w14:paraId="54EF2FE1" w14:textId="77777777" w:rsidR="00BC222B" w:rsidRDefault="00BC222B" w:rsidP="00BC222B">
      <w:pPr>
        <w:pStyle w:val="FootnoteText"/>
      </w:pPr>
      <w:r>
        <w:rPr>
          <w:rStyle w:val="FootnoteReference"/>
        </w:rPr>
        <w:footnoteRef/>
      </w:r>
      <w:r>
        <w:t xml:space="preserve"> </w:t>
      </w:r>
      <w:r w:rsidRPr="00952772">
        <w:t xml:space="preserve">Nationally representative research of 401 first-time buyers who purchased their first property within the last five years. Research conducted in March 2026.  </w:t>
      </w:r>
    </w:p>
    <w:p w14:paraId="770C9FB4" w14:textId="52CE2642" w:rsidR="00BC222B" w:rsidRDefault="00BC222B" w:rsidP="00BC222B">
      <w:pPr>
        <w:pStyle w:val="FootnoteText"/>
      </w:pPr>
      <w:r>
        <w:rPr>
          <w:rStyle w:val="FootnoteReference"/>
        </w:rPr>
        <w:t>2</w:t>
      </w:r>
      <w:r>
        <w:t xml:space="preserve"> </w:t>
      </w:r>
      <w:r w:rsidRPr="006E3701">
        <w:t xml:space="preserve">16% say It has affected </w:t>
      </w:r>
      <w:proofErr w:type="gramStart"/>
      <w:r w:rsidRPr="006E3701">
        <w:t>the</w:t>
      </w:r>
      <w:r>
        <w:t>m</w:t>
      </w:r>
      <w:r w:rsidRPr="006E3701">
        <w:t xml:space="preserve">  a</w:t>
      </w:r>
      <w:proofErr w:type="gramEnd"/>
      <w:r w:rsidRPr="006E3701">
        <w:t xml:space="preserve"> lot, 55%, It has affected it a little</w:t>
      </w:r>
    </w:p>
    <w:p w14:paraId="31E262A5" w14:textId="77777777" w:rsidR="00BC222B" w:rsidRPr="00150A53" w:rsidRDefault="00BC222B" w:rsidP="00BC222B">
      <w:pPr>
        <w:rPr>
          <w:rFonts w:ascii="Arial" w:hAnsi="Arial" w:cs="Arial"/>
          <w:b/>
          <w:lang w:val="en-US"/>
        </w:rPr>
      </w:pPr>
    </w:p>
    <w:p w14:paraId="54E3241B" w14:textId="77777777" w:rsidR="007B6B76" w:rsidRPr="00150A53" w:rsidRDefault="007B6B76" w:rsidP="007B6B76">
      <w:pPr>
        <w:rPr>
          <w:rFonts w:ascii="Arial" w:hAnsi="Arial" w:cs="Arial"/>
          <w:b/>
          <w:lang w:val="en-US"/>
        </w:rPr>
      </w:pPr>
      <w:r w:rsidRPr="00150A53">
        <w:rPr>
          <w:rFonts w:ascii="Arial" w:hAnsi="Arial" w:cs="Arial"/>
          <w:b/>
          <w:lang w:val="en-US"/>
        </w:rPr>
        <w:t>For further information</w:t>
      </w:r>
      <w:r>
        <w:rPr>
          <w:rFonts w:ascii="Arial" w:hAnsi="Arial" w:cs="Arial"/>
          <w:b/>
          <w:lang w:val="en-US"/>
        </w:rPr>
        <w:t xml:space="preserve"> please contact</w:t>
      </w:r>
      <w:r w:rsidRPr="00150A53">
        <w:rPr>
          <w:rFonts w:ascii="Arial" w:hAnsi="Arial" w:cs="Arial"/>
          <w:b/>
          <w:lang w:val="en-US"/>
        </w:rPr>
        <w:t xml:space="preserve"> </w:t>
      </w:r>
      <w:hyperlink r:id="rId7" w:history="1">
        <w:r w:rsidRPr="0038325C">
          <w:rPr>
            <w:rStyle w:val="Hyperlink"/>
            <w:rFonts w:ascii="Arial" w:hAnsi="Arial" w:cs="Arial"/>
            <w:b/>
            <w:lang w:val="en-US"/>
          </w:rPr>
          <w:t>pressoffice@leedsbuildingsociety.co.uk</w:t>
        </w:r>
      </w:hyperlink>
    </w:p>
    <w:p w14:paraId="28ED0CD5" w14:textId="77777777" w:rsidR="007B6B76" w:rsidRPr="00150A53" w:rsidRDefault="007B6B76" w:rsidP="007B6B76">
      <w:pPr>
        <w:rPr>
          <w:rFonts w:ascii="Arial" w:hAnsi="Arial" w:cs="Arial"/>
          <w:b/>
          <w:lang w:val="en-US"/>
        </w:rPr>
      </w:pPr>
      <w:r w:rsidRPr="00150A53">
        <w:rPr>
          <w:rFonts w:ascii="Arial" w:hAnsi="Arial" w:cs="Arial"/>
          <w:b/>
          <w:lang w:val="en-US"/>
        </w:rPr>
        <w:t>Notes to Editors</w:t>
      </w:r>
    </w:p>
    <w:p w14:paraId="291205DF" w14:textId="77777777" w:rsidR="007B6B76" w:rsidRPr="00150A53" w:rsidRDefault="007B6B76" w:rsidP="007B6B76">
      <w:pPr>
        <w:rPr>
          <w:rFonts w:ascii="Arial" w:hAnsi="Arial" w:cs="Arial"/>
          <w:b/>
          <w:bCs/>
        </w:rPr>
      </w:pPr>
      <w:r w:rsidRPr="00150A53">
        <w:rPr>
          <w:rFonts w:ascii="Arial" w:hAnsi="Arial" w:cs="Arial"/>
          <w:b/>
          <w:bCs/>
        </w:rPr>
        <w:t>About Leeds Building Society</w:t>
      </w:r>
    </w:p>
    <w:p w14:paraId="33780238" w14:textId="77777777" w:rsidR="007B6B76" w:rsidRPr="00150A53" w:rsidRDefault="007B6B76" w:rsidP="007B6B76">
      <w:pPr>
        <w:pStyle w:val="ListParagraph"/>
        <w:numPr>
          <w:ilvl w:val="0"/>
          <w:numId w:val="40"/>
        </w:numPr>
        <w:spacing w:after="160" w:line="259" w:lineRule="auto"/>
        <w:rPr>
          <w:rFonts w:ascii="Arial" w:hAnsi="Arial" w:cs="Arial"/>
        </w:rPr>
      </w:pPr>
      <w:r w:rsidRPr="00150A53">
        <w:rPr>
          <w:rFonts w:ascii="Arial" w:hAnsi="Arial" w:cs="Arial"/>
        </w:rPr>
        <w:t xml:space="preserve">Leeds Building Society is the UK’s fifth-largest Building Society with assets of £32.0 billion and a total membership of </w:t>
      </w:r>
      <w:r>
        <w:rPr>
          <w:rFonts w:ascii="Arial" w:hAnsi="Arial" w:cs="Arial"/>
        </w:rPr>
        <w:t xml:space="preserve">over </w:t>
      </w:r>
      <w:r w:rsidRPr="00150A53">
        <w:rPr>
          <w:rFonts w:ascii="Arial" w:hAnsi="Arial" w:cs="Arial"/>
        </w:rPr>
        <w:t xml:space="preserve">1,000,000 as at the end of </w:t>
      </w:r>
      <w:r>
        <w:rPr>
          <w:rFonts w:ascii="Arial" w:hAnsi="Arial" w:cs="Arial"/>
        </w:rPr>
        <w:t xml:space="preserve">December </w:t>
      </w:r>
      <w:r w:rsidRPr="00150A53">
        <w:rPr>
          <w:rFonts w:ascii="Arial" w:hAnsi="Arial" w:cs="Arial"/>
        </w:rPr>
        <w:t>2025.</w:t>
      </w:r>
    </w:p>
    <w:p w14:paraId="1DF9FFC1" w14:textId="77777777" w:rsidR="007B6B76" w:rsidRPr="00150A53" w:rsidRDefault="007B6B76" w:rsidP="007B6B76">
      <w:pPr>
        <w:pStyle w:val="ListParagraph"/>
        <w:numPr>
          <w:ilvl w:val="0"/>
          <w:numId w:val="40"/>
        </w:numPr>
        <w:spacing w:after="160" w:line="259" w:lineRule="auto"/>
        <w:rPr>
          <w:rFonts w:ascii="Arial" w:hAnsi="Arial" w:cs="Arial"/>
        </w:rPr>
      </w:pPr>
      <w:r w:rsidRPr="00150A53">
        <w:rPr>
          <w:rFonts w:ascii="Arial" w:hAnsi="Arial" w:cs="Arial"/>
        </w:rPr>
        <w:t>The Society’s purpose is putting home ownership within reach of more people, generation after generation.</w:t>
      </w:r>
    </w:p>
    <w:p w14:paraId="1AD547B0" w14:textId="77777777" w:rsidR="007B6B76" w:rsidRPr="00150A53" w:rsidRDefault="007B6B76" w:rsidP="007B6B76">
      <w:pPr>
        <w:pStyle w:val="ListParagraph"/>
        <w:numPr>
          <w:ilvl w:val="0"/>
          <w:numId w:val="40"/>
        </w:numPr>
        <w:spacing w:after="160" w:line="259" w:lineRule="auto"/>
        <w:rPr>
          <w:rFonts w:ascii="Arial" w:hAnsi="Arial" w:cs="Arial"/>
        </w:rPr>
      </w:pPr>
      <w:r w:rsidRPr="00150A53">
        <w:rPr>
          <w:rFonts w:ascii="Arial" w:hAnsi="Arial" w:cs="Arial"/>
        </w:rPr>
        <w:t>It continues to do today what it was set up to do in 1875 – help people save money and buy their own home. The Society operates as a mutual, developing and innovating its product range and service offer to help members achieve their financial goals.</w:t>
      </w:r>
    </w:p>
    <w:p w14:paraId="032BE3BD" w14:textId="77777777" w:rsidR="007B6B76" w:rsidRPr="00150A53" w:rsidRDefault="007B6B76" w:rsidP="007B6B76">
      <w:pPr>
        <w:pStyle w:val="ListParagraph"/>
        <w:numPr>
          <w:ilvl w:val="0"/>
          <w:numId w:val="40"/>
        </w:numPr>
        <w:spacing w:after="160" w:line="259" w:lineRule="auto"/>
        <w:rPr>
          <w:rFonts w:ascii="Arial" w:hAnsi="Arial" w:cs="Arial"/>
        </w:rPr>
      </w:pPr>
      <w:r w:rsidRPr="00150A53">
        <w:rPr>
          <w:rFonts w:ascii="Arial" w:hAnsi="Arial" w:cs="Arial"/>
        </w:rPr>
        <w:t>The Society won the title of Best Shared Ownership Mortgage Lender in the 2025 What Mortgage Awards, its tenth consecutive year of success in this category.</w:t>
      </w:r>
    </w:p>
    <w:p w14:paraId="45CC70FF" w14:textId="77777777" w:rsidR="007B6B76" w:rsidRPr="00150A53" w:rsidRDefault="007B6B76" w:rsidP="007B6B76">
      <w:pPr>
        <w:pStyle w:val="ListParagraph"/>
        <w:numPr>
          <w:ilvl w:val="0"/>
          <w:numId w:val="40"/>
        </w:numPr>
        <w:spacing w:after="160" w:line="259" w:lineRule="auto"/>
        <w:rPr>
          <w:rFonts w:ascii="Arial" w:hAnsi="Arial" w:cs="Arial"/>
        </w:rPr>
      </w:pPr>
      <w:r w:rsidRPr="00150A53">
        <w:rPr>
          <w:rFonts w:ascii="Arial" w:hAnsi="Arial" w:cs="Arial"/>
        </w:rPr>
        <w:t>The Society employs over 1,800 colleagues, with a head office in the centre of Leeds, a customer contact centre in Newcastle, and a network of 51 branches across the UK.</w:t>
      </w:r>
    </w:p>
    <w:p w14:paraId="4F17CE57" w14:textId="77777777" w:rsidR="007B6B76" w:rsidRPr="00150A53" w:rsidRDefault="007B6B76" w:rsidP="007B6B76">
      <w:pPr>
        <w:pStyle w:val="ListParagraph"/>
        <w:numPr>
          <w:ilvl w:val="0"/>
          <w:numId w:val="40"/>
        </w:numPr>
        <w:spacing w:after="160" w:line="259" w:lineRule="auto"/>
        <w:rPr>
          <w:rFonts w:ascii="Arial" w:hAnsi="Arial" w:cs="Arial"/>
        </w:rPr>
      </w:pPr>
      <w:r w:rsidRPr="00150A53">
        <w:rPr>
          <w:rFonts w:ascii="Arial" w:hAnsi="Arial" w:cs="Arial"/>
        </w:rPr>
        <w:t>The Society has been a Living Wage employer since 2019.</w:t>
      </w:r>
    </w:p>
    <w:p w14:paraId="5F53B911" w14:textId="77777777" w:rsidR="007B6B76" w:rsidRPr="00150A53" w:rsidRDefault="007B6B76" w:rsidP="007B6B76">
      <w:pPr>
        <w:pStyle w:val="ListParagraph"/>
        <w:numPr>
          <w:ilvl w:val="0"/>
          <w:numId w:val="40"/>
        </w:numPr>
        <w:spacing w:after="160" w:line="259" w:lineRule="auto"/>
        <w:rPr>
          <w:rFonts w:ascii="Arial" w:hAnsi="Arial" w:cs="Arial"/>
        </w:rPr>
      </w:pPr>
      <w:r w:rsidRPr="00150A53">
        <w:rPr>
          <w:rFonts w:ascii="Arial" w:hAnsi="Arial" w:cs="Arial"/>
        </w:rPr>
        <w:t>The Society is committed to the orderly transition to a greener, net zero economy by 2050 and has set a second ambitious target to reduce its scope 1 and 2 location-based emissions by 60% by 2030, aligning with the UK’s net zero commitments.</w:t>
      </w:r>
    </w:p>
    <w:p w14:paraId="29EFBCBC" w14:textId="77777777" w:rsidR="007B6B76" w:rsidRDefault="007B6B76" w:rsidP="007B6B76">
      <w:pPr>
        <w:spacing w:after="0"/>
      </w:pPr>
      <w:r w:rsidRPr="00150A53">
        <w:rPr>
          <w:rFonts w:ascii="Arial" w:hAnsi="Arial" w:cs="Arial"/>
        </w:rPr>
        <w:t xml:space="preserve">For more on what the Society does and how it helps its members, visit </w:t>
      </w:r>
      <w:hyperlink r:id="rId8" w:history="1">
        <w:r w:rsidRPr="00150A53">
          <w:rPr>
            <w:rStyle w:val="Hyperlink"/>
            <w:rFonts w:ascii="Arial" w:hAnsi="Arial" w:cs="Arial"/>
          </w:rPr>
          <w:t>Leeds Building Society</w:t>
        </w:r>
      </w:hyperlink>
    </w:p>
    <w:p w14:paraId="552BA487" w14:textId="6221FBB5" w:rsidR="0090790B" w:rsidRPr="00150A53" w:rsidRDefault="0090790B" w:rsidP="007B6B76">
      <w:pPr>
        <w:rPr>
          <w:rFonts w:ascii="Arial" w:hAnsi="Arial" w:cs="Arial"/>
        </w:rPr>
      </w:pPr>
    </w:p>
    <w:sectPr w:rsidR="0090790B" w:rsidRPr="00150A53" w:rsidSect="00675B10">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2573" w14:textId="77777777" w:rsidR="00C443BC" w:rsidRDefault="00C443BC" w:rsidP="002F23E6">
      <w:pPr>
        <w:spacing w:after="0" w:line="240" w:lineRule="auto"/>
      </w:pPr>
      <w:r>
        <w:separator/>
      </w:r>
    </w:p>
  </w:endnote>
  <w:endnote w:type="continuationSeparator" w:id="0">
    <w:p w14:paraId="3F105BBE" w14:textId="77777777" w:rsidR="00C443BC" w:rsidRDefault="00C443BC" w:rsidP="002F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91A5" w14:textId="77777777" w:rsidR="002F23E6" w:rsidRDefault="002F23E6">
    <w:pPr>
      <w:pStyle w:val="Footer"/>
    </w:pPr>
  </w:p>
  <w:p w14:paraId="52C7AF0E" w14:textId="77777777" w:rsidR="002F23E6" w:rsidRDefault="002F23E6" w:rsidP="00D312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6BD6" w14:textId="77777777" w:rsidR="00C443BC" w:rsidRDefault="00C443BC" w:rsidP="002F23E6">
      <w:pPr>
        <w:spacing w:after="0" w:line="240" w:lineRule="auto"/>
      </w:pPr>
      <w:r>
        <w:separator/>
      </w:r>
    </w:p>
  </w:footnote>
  <w:footnote w:type="continuationSeparator" w:id="0">
    <w:p w14:paraId="54B453F5" w14:textId="77777777" w:rsidR="00C443BC" w:rsidRDefault="00C443BC" w:rsidP="002F23E6">
      <w:pPr>
        <w:spacing w:after="0" w:line="240" w:lineRule="auto"/>
      </w:pPr>
      <w:r>
        <w:continuationSeparator/>
      </w:r>
    </w:p>
  </w:footnote>
  <w:footnote w:id="1">
    <w:p w14:paraId="3E3DA210" w14:textId="00FC9E03" w:rsidR="00952772" w:rsidRDefault="00952772">
      <w:pPr>
        <w:pStyle w:val="FootnoteText"/>
      </w:pPr>
      <w:r>
        <w:rPr>
          <w:rStyle w:val="FootnoteReference"/>
        </w:rPr>
        <w:footnoteRef/>
      </w:r>
      <w:r>
        <w:t xml:space="preserve"> </w:t>
      </w:r>
      <w:r w:rsidRPr="00952772">
        <w:t xml:space="preserve">Nationally representative research of 401 first-time buyers who purchased their first property within the last five years. Research conducted in March 2026.  </w:t>
      </w:r>
    </w:p>
  </w:footnote>
  <w:footnote w:id="2">
    <w:p w14:paraId="36552874" w14:textId="2D49124E" w:rsidR="006E3701" w:rsidRDefault="006E3701">
      <w:pPr>
        <w:pStyle w:val="FootnoteText"/>
      </w:pPr>
      <w:r>
        <w:rPr>
          <w:rStyle w:val="FootnoteReference"/>
        </w:rPr>
        <w:footnoteRef/>
      </w:r>
      <w:r>
        <w:t xml:space="preserve"> </w:t>
      </w:r>
      <w:r w:rsidRPr="006E3701">
        <w:t xml:space="preserve">16% say It has affected </w:t>
      </w:r>
      <w:proofErr w:type="gramStart"/>
      <w:r w:rsidRPr="006E3701">
        <w:t>the</w:t>
      </w:r>
      <w:r w:rsidR="001A5FDD">
        <w:t>m</w:t>
      </w:r>
      <w:r w:rsidRPr="006E3701">
        <w:t xml:space="preserve">  a</w:t>
      </w:r>
      <w:proofErr w:type="gramEnd"/>
      <w:r w:rsidRPr="006E3701">
        <w:t xml:space="preserve"> lot, 55%, It has affected it a little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62FF" w14:textId="5B4F2976" w:rsidR="00675B10" w:rsidRDefault="00675B10">
    <w:pPr>
      <w:pStyle w:val="Header"/>
    </w:pPr>
    <w:r w:rsidRPr="00D31255">
      <w:rPr>
        <w:rFonts w:ascii="Arial" w:eastAsia="Times New Roman" w:hAnsi="Arial" w:cs="Arial"/>
        <w:b/>
        <w:bCs/>
        <w:noProof/>
        <w:color w:val="333333"/>
        <w:lang w:eastAsia="en-GB"/>
      </w:rPr>
      <w:drawing>
        <wp:anchor distT="0" distB="0" distL="114300" distR="114300" simplePos="0" relativeHeight="251659264" behindDoc="1" locked="0" layoutInCell="1" allowOverlap="1" wp14:anchorId="06F68217" wp14:editId="39E96740">
          <wp:simplePos x="0" y="0"/>
          <wp:positionH relativeFrom="column">
            <wp:posOffset>0</wp:posOffset>
          </wp:positionH>
          <wp:positionV relativeFrom="paragraph">
            <wp:posOffset>172085</wp:posOffset>
          </wp:positionV>
          <wp:extent cx="2855595" cy="594995"/>
          <wp:effectExtent l="0" t="0" r="1905" b="0"/>
          <wp:wrapTight wrapText="bothSides">
            <wp:wrapPolygon edited="0">
              <wp:start x="0" y="0"/>
              <wp:lineTo x="0" y="20747"/>
              <wp:lineTo x="21470" y="20747"/>
              <wp:lineTo x="21470" y="0"/>
              <wp:lineTo x="0" y="0"/>
            </wp:wrapPolygon>
          </wp:wrapTight>
          <wp:docPr id="3" name="Picture 3" descr="\\Apps1\dfs\MKTGDIR\PR\Branding\Press Relea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s1\dfs\MKTGDIR\PR\Branding\Press Releas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594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3902"/>
    <w:multiLevelType w:val="hybridMultilevel"/>
    <w:tmpl w:val="7954EF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6DF3788"/>
    <w:multiLevelType w:val="multilevel"/>
    <w:tmpl w:val="4500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82902"/>
    <w:multiLevelType w:val="hybridMultilevel"/>
    <w:tmpl w:val="BC4EA4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7766DA6"/>
    <w:multiLevelType w:val="hybridMultilevel"/>
    <w:tmpl w:val="7834E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76781"/>
    <w:multiLevelType w:val="hybridMultilevel"/>
    <w:tmpl w:val="0EAAFF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E2B2ADF"/>
    <w:multiLevelType w:val="hybridMultilevel"/>
    <w:tmpl w:val="CA28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85563"/>
    <w:multiLevelType w:val="multilevel"/>
    <w:tmpl w:val="DF22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37F1F"/>
    <w:multiLevelType w:val="hybridMultilevel"/>
    <w:tmpl w:val="32C63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9D8193A"/>
    <w:multiLevelType w:val="hybridMultilevel"/>
    <w:tmpl w:val="09A2D9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C0234B3"/>
    <w:multiLevelType w:val="hybridMultilevel"/>
    <w:tmpl w:val="D4DA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BBD0B"/>
    <w:multiLevelType w:val="hybridMultilevel"/>
    <w:tmpl w:val="3AECB90A"/>
    <w:lvl w:ilvl="0" w:tplc="4C5E4B98">
      <w:start w:val="1"/>
      <w:numFmt w:val="bullet"/>
      <w:lvlText w:val=""/>
      <w:lvlJc w:val="left"/>
      <w:pPr>
        <w:ind w:left="720" w:hanging="360"/>
      </w:pPr>
      <w:rPr>
        <w:rFonts w:ascii="Symbol" w:hAnsi="Symbol" w:hint="default"/>
      </w:rPr>
    </w:lvl>
    <w:lvl w:ilvl="1" w:tplc="91D2AC8E">
      <w:start w:val="1"/>
      <w:numFmt w:val="bullet"/>
      <w:lvlText w:val="o"/>
      <w:lvlJc w:val="left"/>
      <w:pPr>
        <w:ind w:left="1440" w:hanging="360"/>
      </w:pPr>
      <w:rPr>
        <w:rFonts w:ascii="Courier New" w:hAnsi="Courier New" w:hint="default"/>
      </w:rPr>
    </w:lvl>
    <w:lvl w:ilvl="2" w:tplc="32C8990C">
      <w:start w:val="1"/>
      <w:numFmt w:val="bullet"/>
      <w:lvlText w:val=""/>
      <w:lvlJc w:val="left"/>
      <w:pPr>
        <w:ind w:left="2160" w:hanging="360"/>
      </w:pPr>
      <w:rPr>
        <w:rFonts w:ascii="Wingdings" w:hAnsi="Wingdings" w:hint="default"/>
      </w:rPr>
    </w:lvl>
    <w:lvl w:ilvl="3" w:tplc="11A8A51C">
      <w:start w:val="1"/>
      <w:numFmt w:val="bullet"/>
      <w:lvlText w:val=""/>
      <w:lvlJc w:val="left"/>
      <w:pPr>
        <w:ind w:left="2880" w:hanging="360"/>
      </w:pPr>
      <w:rPr>
        <w:rFonts w:ascii="Symbol" w:hAnsi="Symbol" w:hint="default"/>
      </w:rPr>
    </w:lvl>
    <w:lvl w:ilvl="4" w:tplc="D3E0B600">
      <w:start w:val="1"/>
      <w:numFmt w:val="bullet"/>
      <w:lvlText w:val="o"/>
      <w:lvlJc w:val="left"/>
      <w:pPr>
        <w:ind w:left="3600" w:hanging="360"/>
      </w:pPr>
      <w:rPr>
        <w:rFonts w:ascii="Courier New" w:hAnsi="Courier New" w:hint="default"/>
      </w:rPr>
    </w:lvl>
    <w:lvl w:ilvl="5" w:tplc="C40CBB5C">
      <w:start w:val="1"/>
      <w:numFmt w:val="bullet"/>
      <w:lvlText w:val=""/>
      <w:lvlJc w:val="left"/>
      <w:pPr>
        <w:ind w:left="4320" w:hanging="360"/>
      </w:pPr>
      <w:rPr>
        <w:rFonts w:ascii="Wingdings" w:hAnsi="Wingdings" w:hint="default"/>
      </w:rPr>
    </w:lvl>
    <w:lvl w:ilvl="6" w:tplc="41DC0140">
      <w:start w:val="1"/>
      <w:numFmt w:val="bullet"/>
      <w:lvlText w:val=""/>
      <w:lvlJc w:val="left"/>
      <w:pPr>
        <w:ind w:left="5040" w:hanging="360"/>
      </w:pPr>
      <w:rPr>
        <w:rFonts w:ascii="Symbol" w:hAnsi="Symbol" w:hint="default"/>
      </w:rPr>
    </w:lvl>
    <w:lvl w:ilvl="7" w:tplc="39C4846C">
      <w:start w:val="1"/>
      <w:numFmt w:val="bullet"/>
      <w:lvlText w:val="o"/>
      <w:lvlJc w:val="left"/>
      <w:pPr>
        <w:ind w:left="5760" w:hanging="360"/>
      </w:pPr>
      <w:rPr>
        <w:rFonts w:ascii="Courier New" w:hAnsi="Courier New" w:hint="default"/>
      </w:rPr>
    </w:lvl>
    <w:lvl w:ilvl="8" w:tplc="8C7AB6B8">
      <w:start w:val="1"/>
      <w:numFmt w:val="bullet"/>
      <w:lvlText w:val=""/>
      <w:lvlJc w:val="left"/>
      <w:pPr>
        <w:ind w:left="6480" w:hanging="360"/>
      </w:pPr>
      <w:rPr>
        <w:rFonts w:ascii="Wingdings" w:hAnsi="Wingdings" w:hint="default"/>
      </w:rPr>
    </w:lvl>
  </w:abstractNum>
  <w:abstractNum w:abstractNumId="11" w15:restartNumberingAfterBreak="0">
    <w:nsid w:val="1F4144FA"/>
    <w:multiLevelType w:val="hybridMultilevel"/>
    <w:tmpl w:val="EC26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552BDA"/>
    <w:multiLevelType w:val="hybridMultilevel"/>
    <w:tmpl w:val="E93E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83B05"/>
    <w:multiLevelType w:val="hybridMultilevel"/>
    <w:tmpl w:val="F65EF62A"/>
    <w:lvl w:ilvl="0" w:tplc="2E224EDA">
      <w:start w:val="1"/>
      <w:numFmt w:val="bullet"/>
      <w:lvlText w:val=""/>
      <w:lvlJc w:val="left"/>
      <w:pPr>
        <w:ind w:left="720" w:hanging="360"/>
      </w:pPr>
      <w:rPr>
        <w:rFonts w:ascii="Symbol" w:hAnsi="Symbol" w:hint="default"/>
      </w:rPr>
    </w:lvl>
    <w:lvl w:ilvl="1" w:tplc="958EDF0C">
      <w:start w:val="1"/>
      <w:numFmt w:val="bullet"/>
      <w:lvlText w:val="o"/>
      <w:lvlJc w:val="left"/>
      <w:pPr>
        <w:ind w:left="1440" w:hanging="360"/>
      </w:pPr>
      <w:rPr>
        <w:rFonts w:ascii="Courier New" w:hAnsi="Courier New" w:hint="default"/>
      </w:rPr>
    </w:lvl>
    <w:lvl w:ilvl="2" w:tplc="848A1222">
      <w:start w:val="1"/>
      <w:numFmt w:val="bullet"/>
      <w:lvlText w:val=""/>
      <w:lvlJc w:val="left"/>
      <w:pPr>
        <w:ind w:left="2160" w:hanging="360"/>
      </w:pPr>
      <w:rPr>
        <w:rFonts w:ascii="Wingdings" w:hAnsi="Wingdings" w:hint="default"/>
      </w:rPr>
    </w:lvl>
    <w:lvl w:ilvl="3" w:tplc="09FA2398">
      <w:start w:val="1"/>
      <w:numFmt w:val="bullet"/>
      <w:lvlText w:val=""/>
      <w:lvlJc w:val="left"/>
      <w:pPr>
        <w:ind w:left="2880" w:hanging="360"/>
      </w:pPr>
      <w:rPr>
        <w:rFonts w:ascii="Symbol" w:hAnsi="Symbol" w:hint="default"/>
      </w:rPr>
    </w:lvl>
    <w:lvl w:ilvl="4" w:tplc="DD72E5CA">
      <w:start w:val="1"/>
      <w:numFmt w:val="bullet"/>
      <w:lvlText w:val="o"/>
      <w:lvlJc w:val="left"/>
      <w:pPr>
        <w:ind w:left="3600" w:hanging="360"/>
      </w:pPr>
      <w:rPr>
        <w:rFonts w:ascii="Courier New" w:hAnsi="Courier New" w:hint="default"/>
      </w:rPr>
    </w:lvl>
    <w:lvl w:ilvl="5" w:tplc="FABEE6A4">
      <w:start w:val="1"/>
      <w:numFmt w:val="bullet"/>
      <w:lvlText w:val=""/>
      <w:lvlJc w:val="left"/>
      <w:pPr>
        <w:ind w:left="4320" w:hanging="360"/>
      </w:pPr>
      <w:rPr>
        <w:rFonts w:ascii="Wingdings" w:hAnsi="Wingdings" w:hint="default"/>
      </w:rPr>
    </w:lvl>
    <w:lvl w:ilvl="6" w:tplc="CD62C8BC">
      <w:start w:val="1"/>
      <w:numFmt w:val="bullet"/>
      <w:lvlText w:val=""/>
      <w:lvlJc w:val="left"/>
      <w:pPr>
        <w:ind w:left="5040" w:hanging="360"/>
      </w:pPr>
      <w:rPr>
        <w:rFonts w:ascii="Symbol" w:hAnsi="Symbol" w:hint="default"/>
      </w:rPr>
    </w:lvl>
    <w:lvl w:ilvl="7" w:tplc="4E186872">
      <w:start w:val="1"/>
      <w:numFmt w:val="bullet"/>
      <w:lvlText w:val="o"/>
      <w:lvlJc w:val="left"/>
      <w:pPr>
        <w:ind w:left="5760" w:hanging="360"/>
      </w:pPr>
      <w:rPr>
        <w:rFonts w:ascii="Courier New" w:hAnsi="Courier New" w:hint="default"/>
      </w:rPr>
    </w:lvl>
    <w:lvl w:ilvl="8" w:tplc="5DB669E8">
      <w:start w:val="1"/>
      <w:numFmt w:val="bullet"/>
      <w:lvlText w:val=""/>
      <w:lvlJc w:val="left"/>
      <w:pPr>
        <w:ind w:left="6480" w:hanging="360"/>
      </w:pPr>
      <w:rPr>
        <w:rFonts w:ascii="Wingdings" w:hAnsi="Wingdings" w:hint="default"/>
      </w:rPr>
    </w:lvl>
  </w:abstractNum>
  <w:abstractNum w:abstractNumId="14" w15:restartNumberingAfterBreak="0">
    <w:nsid w:val="209C4A33"/>
    <w:multiLevelType w:val="hybridMultilevel"/>
    <w:tmpl w:val="A52ADD0C"/>
    <w:lvl w:ilvl="0" w:tplc="5A26BE5A">
      <w:numFmt w:val="bullet"/>
      <w:lvlText w:val="•"/>
      <w:lvlJc w:val="left"/>
      <w:pPr>
        <w:ind w:left="1647" w:hanging="72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2E1198"/>
    <w:multiLevelType w:val="hybridMultilevel"/>
    <w:tmpl w:val="60B46F3A"/>
    <w:lvl w:ilvl="0" w:tplc="62E6AF38">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BA1818"/>
    <w:multiLevelType w:val="hybridMultilevel"/>
    <w:tmpl w:val="48A0702E"/>
    <w:lvl w:ilvl="0" w:tplc="722A25D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7135E"/>
    <w:multiLevelType w:val="hybridMultilevel"/>
    <w:tmpl w:val="6BE0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C1682"/>
    <w:multiLevelType w:val="hybridMultilevel"/>
    <w:tmpl w:val="42BCBC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C7225C0"/>
    <w:multiLevelType w:val="multilevel"/>
    <w:tmpl w:val="197E69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45B93"/>
    <w:multiLevelType w:val="hybridMultilevel"/>
    <w:tmpl w:val="9B56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2648CE"/>
    <w:multiLevelType w:val="hybridMultilevel"/>
    <w:tmpl w:val="99F60D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E6232F0"/>
    <w:multiLevelType w:val="hybridMultilevel"/>
    <w:tmpl w:val="C5AE5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0A72B1B"/>
    <w:multiLevelType w:val="hybridMultilevel"/>
    <w:tmpl w:val="BE2643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5634597"/>
    <w:multiLevelType w:val="hybridMultilevel"/>
    <w:tmpl w:val="EF9E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057506"/>
    <w:multiLevelType w:val="hybridMultilevel"/>
    <w:tmpl w:val="5582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3C3115"/>
    <w:multiLevelType w:val="hybridMultilevel"/>
    <w:tmpl w:val="7474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2D6336"/>
    <w:multiLevelType w:val="hybridMultilevel"/>
    <w:tmpl w:val="C6DE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C74964"/>
    <w:multiLevelType w:val="hybridMultilevel"/>
    <w:tmpl w:val="D6AAC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B8A6D68"/>
    <w:multiLevelType w:val="hybridMultilevel"/>
    <w:tmpl w:val="2F02B73A"/>
    <w:lvl w:ilvl="0" w:tplc="5A26BE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FC72E3"/>
    <w:multiLevelType w:val="hybridMultilevel"/>
    <w:tmpl w:val="6022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0432A6"/>
    <w:multiLevelType w:val="hybridMultilevel"/>
    <w:tmpl w:val="86B6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E859C3"/>
    <w:multiLevelType w:val="hybridMultilevel"/>
    <w:tmpl w:val="8402D274"/>
    <w:lvl w:ilvl="0" w:tplc="5FC68C02">
      <w:start w:val="1"/>
      <w:numFmt w:val="bullet"/>
      <w:lvlText w:val=""/>
      <w:lvlJc w:val="left"/>
      <w:pPr>
        <w:ind w:left="567" w:hanging="454"/>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50061FE"/>
    <w:multiLevelType w:val="hybridMultilevel"/>
    <w:tmpl w:val="715A22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475D7E22"/>
    <w:multiLevelType w:val="hybridMultilevel"/>
    <w:tmpl w:val="6D8E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7D9210F"/>
    <w:multiLevelType w:val="hybridMultilevel"/>
    <w:tmpl w:val="D602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365F9C"/>
    <w:multiLevelType w:val="hybridMultilevel"/>
    <w:tmpl w:val="430EC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D590827"/>
    <w:multiLevelType w:val="hybridMultilevel"/>
    <w:tmpl w:val="E4C609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01621D1"/>
    <w:multiLevelType w:val="hybridMultilevel"/>
    <w:tmpl w:val="22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8532CC"/>
    <w:multiLevelType w:val="hybridMultilevel"/>
    <w:tmpl w:val="E8A256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540A4EEE"/>
    <w:multiLevelType w:val="multilevel"/>
    <w:tmpl w:val="9A78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6F0A8E"/>
    <w:multiLevelType w:val="hybridMultilevel"/>
    <w:tmpl w:val="2C06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8346FE"/>
    <w:multiLevelType w:val="hybridMultilevel"/>
    <w:tmpl w:val="9F4E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F05305"/>
    <w:multiLevelType w:val="hybridMultilevel"/>
    <w:tmpl w:val="45008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76F4BCC"/>
    <w:multiLevelType w:val="hybridMultilevel"/>
    <w:tmpl w:val="F2A2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8E059B"/>
    <w:multiLevelType w:val="hybridMultilevel"/>
    <w:tmpl w:val="6C3C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480123"/>
    <w:multiLevelType w:val="multilevel"/>
    <w:tmpl w:val="A5901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3B4D20"/>
    <w:multiLevelType w:val="hybridMultilevel"/>
    <w:tmpl w:val="1CE4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3B0243"/>
    <w:multiLevelType w:val="hybridMultilevel"/>
    <w:tmpl w:val="D8561000"/>
    <w:lvl w:ilvl="0" w:tplc="380A3364">
      <w:start w:val="1"/>
      <w:numFmt w:val="bullet"/>
      <w:lvlText w:val=""/>
      <w:lvlJc w:val="left"/>
      <w:pPr>
        <w:ind w:left="567" w:hanging="567"/>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045514C"/>
    <w:multiLevelType w:val="hybridMultilevel"/>
    <w:tmpl w:val="4206477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0" w15:restartNumberingAfterBreak="0">
    <w:nsid w:val="70860A04"/>
    <w:multiLevelType w:val="hybridMultilevel"/>
    <w:tmpl w:val="66B6EE88"/>
    <w:lvl w:ilvl="0" w:tplc="D65E7FD0">
      <w:start w:val="1"/>
      <w:numFmt w:val="bullet"/>
      <w:lvlText w:val=""/>
      <w:lvlJc w:val="left"/>
      <w:pPr>
        <w:ind w:left="567" w:hanging="227"/>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73817943"/>
    <w:multiLevelType w:val="multilevel"/>
    <w:tmpl w:val="9686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074225"/>
    <w:multiLevelType w:val="hybridMultilevel"/>
    <w:tmpl w:val="2AE86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FD442B"/>
    <w:multiLevelType w:val="hybridMultilevel"/>
    <w:tmpl w:val="D5302B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7BDE4DEE"/>
    <w:multiLevelType w:val="hybridMultilevel"/>
    <w:tmpl w:val="D50A5F98"/>
    <w:lvl w:ilvl="0" w:tplc="00EA78FA">
      <w:start w:val="1"/>
      <w:numFmt w:val="bullet"/>
      <w:lvlText w:val=""/>
      <w:lvlJc w:val="left"/>
      <w:pPr>
        <w:ind w:left="340" w:hanging="34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7C7D1A1C"/>
    <w:multiLevelType w:val="hybridMultilevel"/>
    <w:tmpl w:val="DAB0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227281">
    <w:abstractNumId w:val="10"/>
  </w:num>
  <w:num w:numId="2" w16cid:durableId="891430990">
    <w:abstractNumId w:val="19"/>
  </w:num>
  <w:num w:numId="3" w16cid:durableId="885723700">
    <w:abstractNumId w:val="2"/>
  </w:num>
  <w:num w:numId="4" w16cid:durableId="1571188267">
    <w:abstractNumId w:val="49"/>
  </w:num>
  <w:num w:numId="5" w16cid:durableId="1155759038">
    <w:abstractNumId w:val="23"/>
  </w:num>
  <w:num w:numId="6" w16cid:durableId="536506220">
    <w:abstractNumId w:val="8"/>
  </w:num>
  <w:num w:numId="7" w16cid:durableId="119905110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1074429670">
    <w:abstractNumId w:val="7"/>
  </w:num>
  <w:num w:numId="9" w16cid:durableId="435908851">
    <w:abstractNumId w:val="51"/>
  </w:num>
  <w:num w:numId="10" w16cid:durableId="766728236">
    <w:abstractNumId w:val="6"/>
  </w:num>
  <w:num w:numId="11" w16cid:durableId="1379167367">
    <w:abstractNumId w:val="41"/>
  </w:num>
  <w:num w:numId="12" w16cid:durableId="985931932">
    <w:abstractNumId w:val="40"/>
  </w:num>
  <w:num w:numId="13" w16cid:durableId="409546339">
    <w:abstractNumId w:val="22"/>
  </w:num>
  <w:num w:numId="14" w16cid:durableId="1536769261">
    <w:abstractNumId w:val="28"/>
  </w:num>
  <w:num w:numId="15" w16cid:durableId="1337607839">
    <w:abstractNumId w:val="3"/>
  </w:num>
  <w:num w:numId="16" w16cid:durableId="458692187">
    <w:abstractNumId w:val="33"/>
  </w:num>
  <w:num w:numId="17" w16cid:durableId="1296715203">
    <w:abstractNumId w:val="0"/>
  </w:num>
  <w:num w:numId="18" w16cid:durableId="1085028740">
    <w:abstractNumId w:val="53"/>
  </w:num>
  <w:num w:numId="19" w16cid:durableId="368383796">
    <w:abstractNumId w:val="18"/>
  </w:num>
  <w:num w:numId="20" w16cid:durableId="1085879538">
    <w:abstractNumId w:val="34"/>
  </w:num>
  <w:num w:numId="21" w16cid:durableId="1304700627">
    <w:abstractNumId w:val="39"/>
  </w:num>
  <w:num w:numId="22" w16cid:durableId="708410834">
    <w:abstractNumId w:val="35"/>
  </w:num>
  <w:num w:numId="23" w16cid:durableId="1730113205">
    <w:abstractNumId w:val="12"/>
  </w:num>
  <w:num w:numId="24" w16cid:durableId="1866212798">
    <w:abstractNumId w:val="13"/>
  </w:num>
  <w:num w:numId="25" w16cid:durableId="2003661379">
    <w:abstractNumId w:val="16"/>
  </w:num>
  <w:num w:numId="26" w16cid:durableId="764419624">
    <w:abstractNumId w:val="17"/>
  </w:num>
  <w:num w:numId="27" w16cid:durableId="1905676863">
    <w:abstractNumId w:val="4"/>
  </w:num>
  <w:num w:numId="28" w16cid:durableId="676545093">
    <w:abstractNumId w:val="21"/>
  </w:num>
  <w:num w:numId="29" w16cid:durableId="1053970679">
    <w:abstractNumId w:val="37"/>
  </w:num>
  <w:num w:numId="30" w16cid:durableId="119963529">
    <w:abstractNumId w:val="55"/>
  </w:num>
  <w:num w:numId="31" w16cid:durableId="1061749428">
    <w:abstractNumId w:val="29"/>
  </w:num>
  <w:num w:numId="32" w16cid:durableId="1326010087">
    <w:abstractNumId w:val="14"/>
  </w:num>
  <w:num w:numId="33" w16cid:durableId="1456823953">
    <w:abstractNumId w:val="15"/>
  </w:num>
  <w:num w:numId="34" w16cid:durableId="649948448">
    <w:abstractNumId w:val="31"/>
  </w:num>
  <w:num w:numId="35" w16cid:durableId="982808829">
    <w:abstractNumId w:val="36"/>
  </w:num>
  <w:num w:numId="36" w16cid:durableId="1681618262">
    <w:abstractNumId w:val="50"/>
  </w:num>
  <w:num w:numId="37" w16cid:durableId="1776052569">
    <w:abstractNumId w:val="32"/>
  </w:num>
  <w:num w:numId="38" w16cid:durableId="2125079913">
    <w:abstractNumId w:val="48"/>
  </w:num>
  <w:num w:numId="39" w16cid:durableId="1997758249">
    <w:abstractNumId w:val="54"/>
  </w:num>
  <w:num w:numId="40" w16cid:durableId="379669830">
    <w:abstractNumId w:val="30"/>
  </w:num>
  <w:num w:numId="41" w16cid:durableId="2028284241">
    <w:abstractNumId w:val="25"/>
  </w:num>
  <w:num w:numId="42" w16cid:durableId="302930413">
    <w:abstractNumId w:val="20"/>
  </w:num>
  <w:num w:numId="43" w16cid:durableId="1667435368">
    <w:abstractNumId w:val="26"/>
  </w:num>
  <w:num w:numId="44" w16cid:durableId="2069572042">
    <w:abstractNumId w:val="47"/>
  </w:num>
  <w:num w:numId="45" w16cid:durableId="1783066196">
    <w:abstractNumId w:val="45"/>
  </w:num>
  <w:num w:numId="46" w16cid:durableId="738551988">
    <w:abstractNumId w:val="9"/>
  </w:num>
  <w:num w:numId="47" w16cid:durableId="946228657">
    <w:abstractNumId w:val="24"/>
  </w:num>
  <w:num w:numId="48" w16cid:durableId="771050801">
    <w:abstractNumId w:val="11"/>
  </w:num>
  <w:num w:numId="49" w16cid:durableId="2079012052">
    <w:abstractNumId w:val="44"/>
  </w:num>
  <w:num w:numId="50" w16cid:durableId="2132358579">
    <w:abstractNumId w:val="38"/>
  </w:num>
  <w:num w:numId="51" w16cid:durableId="574583850">
    <w:abstractNumId w:val="43"/>
  </w:num>
  <w:num w:numId="52" w16cid:durableId="1586105507">
    <w:abstractNumId w:val="46"/>
  </w:num>
  <w:num w:numId="53" w16cid:durableId="1088648642">
    <w:abstractNumId w:val="52"/>
  </w:num>
  <w:num w:numId="54" w16cid:durableId="392388077">
    <w:abstractNumId w:val="5"/>
  </w:num>
  <w:num w:numId="55" w16cid:durableId="1724871506">
    <w:abstractNumId w:val="42"/>
  </w:num>
  <w:num w:numId="56" w16cid:durableId="2276950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F5"/>
    <w:rsid w:val="00001282"/>
    <w:rsid w:val="000039F6"/>
    <w:rsid w:val="0000449E"/>
    <w:rsid w:val="00011AEF"/>
    <w:rsid w:val="00012C7F"/>
    <w:rsid w:val="00017ABB"/>
    <w:rsid w:val="00020348"/>
    <w:rsid w:val="00023C5C"/>
    <w:rsid w:val="00026D82"/>
    <w:rsid w:val="00030A71"/>
    <w:rsid w:val="00034573"/>
    <w:rsid w:val="00045473"/>
    <w:rsid w:val="00046D11"/>
    <w:rsid w:val="000528EE"/>
    <w:rsid w:val="000530C7"/>
    <w:rsid w:val="00055224"/>
    <w:rsid w:val="00056768"/>
    <w:rsid w:val="000633EE"/>
    <w:rsid w:val="00063EB2"/>
    <w:rsid w:val="00064243"/>
    <w:rsid w:val="000663E4"/>
    <w:rsid w:val="00066E31"/>
    <w:rsid w:val="00072FEA"/>
    <w:rsid w:val="0007329E"/>
    <w:rsid w:val="00081590"/>
    <w:rsid w:val="000836D1"/>
    <w:rsid w:val="00085559"/>
    <w:rsid w:val="00090C7C"/>
    <w:rsid w:val="00092414"/>
    <w:rsid w:val="00092648"/>
    <w:rsid w:val="00095BC0"/>
    <w:rsid w:val="000A1A78"/>
    <w:rsid w:val="000A3E1D"/>
    <w:rsid w:val="000A40FD"/>
    <w:rsid w:val="000A4C69"/>
    <w:rsid w:val="000A572A"/>
    <w:rsid w:val="000B2842"/>
    <w:rsid w:val="000B540E"/>
    <w:rsid w:val="000C41EF"/>
    <w:rsid w:val="000C466C"/>
    <w:rsid w:val="000D7BAD"/>
    <w:rsid w:val="000E0C02"/>
    <w:rsid w:val="000E6BD7"/>
    <w:rsid w:val="000F06DD"/>
    <w:rsid w:val="000F10DB"/>
    <w:rsid w:val="000F2092"/>
    <w:rsid w:val="000F4A24"/>
    <w:rsid w:val="001049D5"/>
    <w:rsid w:val="0011008D"/>
    <w:rsid w:val="0011459E"/>
    <w:rsid w:val="00117922"/>
    <w:rsid w:val="00122E19"/>
    <w:rsid w:val="00124023"/>
    <w:rsid w:val="00130BA3"/>
    <w:rsid w:val="00132311"/>
    <w:rsid w:val="0013595E"/>
    <w:rsid w:val="00140750"/>
    <w:rsid w:val="00145BB1"/>
    <w:rsid w:val="00146837"/>
    <w:rsid w:val="00150A53"/>
    <w:rsid w:val="00151A60"/>
    <w:rsid w:val="001574F5"/>
    <w:rsid w:val="001639FB"/>
    <w:rsid w:val="00163ABC"/>
    <w:rsid w:val="0016704B"/>
    <w:rsid w:val="0018113C"/>
    <w:rsid w:val="00182BBB"/>
    <w:rsid w:val="00186B0C"/>
    <w:rsid w:val="00192E6A"/>
    <w:rsid w:val="001A1335"/>
    <w:rsid w:val="001A37DA"/>
    <w:rsid w:val="001A386C"/>
    <w:rsid w:val="001A56A9"/>
    <w:rsid w:val="001A5FDD"/>
    <w:rsid w:val="001B09C1"/>
    <w:rsid w:val="001B188F"/>
    <w:rsid w:val="001B7018"/>
    <w:rsid w:val="001B7579"/>
    <w:rsid w:val="001C0737"/>
    <w:rsid w:val="001C234D"/>
    <w:rsid w:val="001C2412"/>
    <w:rsid w:val="001C3B6D"/>
    <w:rsid w:val="001C4408"/>
    <w:rsid w:val="001C5B16"/>
    <w:rsid w:val="001C7402"/>
    <w:rsid w:val="001D4BB8"/>
    <w:rsid w:val="001E695B"/>
    <w:rsid w:val="001F5928"/>
    <w:rsid w:val="001F6ECC"/>
    <w:rsid w:val="001F7BD9"/>
    <w:rsid w:val="001F7DA3"/>
    <w:rsid w:val="001F7E47"/>
    <w:rsid w:val="0020605C"/>
    <w:rsid w:val="00212AEE"/>
    <w:rsid w:val="002159A7"/>
    <w:rsid w:val="00223601"/>
    <w:rsid w:val="00230299"/>
    <w:rsid w:val="00234443"/>
    <w:rsid w:val="002438E8"/>
    <w:rsid w:val="00250EE4"/>
    <w:rsid w:val="002513EF"/>
    <w:rsid w:val="00251CA2"/>
    <w:rsid w:val="00253440"/>
    <w:rsid w:val="00271BEA"/>
    <w:rsid w:val="002734D5"/>
    <w:rsid w:val="002764F5"/>
    <w:rsid w:val="00277BDE"/>
    <w:rsid w:val="00282BA6"/>
    <w:rsid w:val="002853F9"/>
    <w:rsid w:val="0028708E"/>
    <w:rsid w:val="0029087F"/>
    <w:rsid w:val="00292E43"/>
    <w:rsid w:val="00293819"/>
    <w:rsid w:val="0029657F"/>
    <w:rsid w:val="00297537"/>
    <w:rsid w:val="002A1757"/>
    <w:rsid w:val="002A45D1"/>
    <w:rsid w:val="002A7255"/>
    <w:rsid w:val="002A725F"/>
    <w:rsid w:val="002B0FF9"/>
    <w:rsid w:val="002B1D4C"/>
    <w:rsid w:val="002B2C43"/>
    <w:rsid w:val="002B3108"/>
    <w:rsid w:val="002B534D"/>
    <w:rsid w:val="002B68E6"/>
    <w:rsid w:val="002C471C"/>
    <w:rsid w:val="002C692B"/>
    <w:rsid w:val="002D4E4C"/>
    <w:rsid w:val="002D7348"/>
    <w:rsid w:val="002E2770"/>
    <w:rsid w:val="002E2C2C"/>
    <w:rsid w:val="002E4345"/>
    <w:rsid w:val="002E66A9"/>
    <w:rsid w:val="002F23E6"/>
    <w:rsid w:val="002F7D2D"/>
    <w:rsid w:val="00300B19"/>
    <w:rsid w:val="00302592"/>
    <w:rsid w:val="00303708"/>
    <w:rsid w:val="00306031"/>
    <w:rsid w:val="003104AC"/>
    <w:rsid w:val="00315F64"/>
    <w:rsid w:val="003178C2"/>
    <w:rsid w:val="00320382"/>
    <w:rsid w:val="00320840"/>
    <w:rsid w:val="0032592A"/>
    <w:rsid w:val="00330C83"/>
    <w:rsid w:val="003310D1"/>
    <w:rsid w:val="003344AD"/>
    <w:rsid w:val="00335D58"/>
    <w:rsid w:val="00343BCE"/>
    <w:rsid w:val="003467F3"/>
    <w:rsid w:val="00351ACD"/>
    <w:rsid w:val="003571F2"/>
    <w:rsid w:val="003651F6"/>
    <w:rsid w:val="003762C4"/>
    <w:rsid w:val="003845A2"/>
    <w:rsid w:val="003852DA"/>
    <w:rsid w:val="0039509A"/>
    <w:rsid w:val="003A29A9"/>
    <w:rsid w:val="003A2B65"/>
    <w:rsid w:val="003A4AE2"/>
    <w:rsid w:val="003A5515"/>
    <w:rsid w:val="003A5ABE"/>
    <w:rsid w:val="003A5FC2"/>
    <w:rsid w:val="003B0C3E"/>
    <w:rsid w:val="003C14E5"/>
    <w:rsid w:val="003C5108"/>
    <w:rsid w:val="003C5954"/>
    <w:rsid w:val="003D2DBC"/>
    <w:rsid w:val="003D37F7"/>
    <w:rsid w:val="003D38D6"/>
    <w:rsid w:val="003D57B1"/>
    <w:rsid w:val="003E02DD"/>
    <w:rsid w:val="003E032E"/>
    <w:rsid w:val="003E23CD"/>
    <w:rsid w:val="003E4A0C"/>
    <w:rsid w:val="003E4DB2"/>
    <w:rsid w:val="003E6615"/>
    <w:rsid w:val="003F0817"/>
    <w:rsid w:val="003F0D70"/>
    <w:rsid w:val="003F208E"/>
    <w:rsid w:val="003F3149"/>
    <w:rsid w:val="0040075C"/>
    <w:rsid w:val="0040098E"/>
    <w:rsid w:val="00404AE5"/>
    <w:rsid w:val="0040768D"/>
    <w:rsid w:val="00412D00"/>
    <w:rsid w:val="00412F1B"/>
    <w:rsid w:val="00413068"/>
    <w:rsid w:val="00413C92"/>
    <w:rsid w:val="0041575D"/>
    <w:rsid w:val="004207F0"/>
    <w:rsid w:val="00421FED"/>
    <w:rsid w:val="004229AE"/>
    <w:rsid w:val="0043298F"/>
    <w:rsid w:val="00434E38"/>
    <w:rsid w:val="00440E7A"/>
    <w:rsid w:val="00443A21"/>
    <w:rsid w:val="0044654B"/>
    <w:rsid w:val="004613C7"/>
    <w:rsid w:val="00461BB2"/>
    <w:rsid w:val="004632B2"/>
    <w:rsid w:val="0046467A"/>
    <w:rsid w:val="0047317E"/>
    <w:rsid w:val="00473A90"/>
    <w:rsid w:val="00474318"/>
    <w:rsid w:val="00476B01"/>
    <w:rsid w:val="004829CB"/>
    <w:rsid w:val="00483749"/>
    <w:rsid w:val="004859E4"/>
    <w:rsid w:val="004939A5"/>
    <w:rsid w:val="004A22D7"/>
    <w:rsid w:val="004A5579"/>
    <w:rsid w:val="004B6793"/>
    <w:rsid w:val="004C4AD8"/>
    <w:rsid w:val="004C6F39"/>
    <w:rsid w:val="004C7E01"/>
    <w:rsid w:val="004D1EE9"/>
    <w:rsid w:val="004D33DD"/>
    <w:rsid w:val="004D344D"/>
    <w:rsid w:val="004D6806"/>
    <w:rsid w:val="004D748E"/>
    <w:rsid w:val="004D7583"/>
    <w:rsid w:val="004E4651"/>
    <w:rsid w:val="004F1A35"/>
    <w:rsid w:val="004F282A"/>
    <w:rsid w:val="004F70A7"/>
    <w:rsid w:val="00500D48"/>
    <w:rsid w:val="00501F6C"/>
    <w:rsid w:val="00504A48"/>
    <w:rsid w:val="00505937"/>
    <w:rsid w:val="00514A58"/>
    <w:rsid w:val="00522926"/>
    <w:rsid w:val="005245F1"/>
    <w:rsid w:val="00524863"/>
    <w:rsid w:val="00525ABF"/>
    <w:rsid w:val="00525F68"/>
    <w:rsid w:val="0054135E"/>
    <w:rsid w:val="00545ECF"/>
    <w:rsid w:val="00545F16"/>
    <w:rsid w:val="0054712E"/>
    <w:rsid w:val="005472F1"/>
    <w:rsid w:val="00547B96"/>
    <w:rsid w:val="00551B7E"/>
    <w:rsid w:val="00557BCB"/>
    <w:rsid w:val="005731D1"/>
    <w:rsid w:val="00574F8A"/>
    <w:rsid w:val="005815CD"/>
    <w:rsid w:val="0058371E"/>
    <w:rsid w:val="00587D13"/>
    <w:rsid w:val="005933B4"/>
    <w:rsid w:val="00594743"/>
    <w:rsid w:val="00595EFC"/>
    <w:rsid w:val="00596166"/>
    <w:rsid w:val="0059617B"/>
    <w:rsid w:val="005A12C8"/>
    <w:rsid w:val="005A520A"/>
    <w:rsid w:val="005A57C5"/>
    <w:rsid w:val="005B0328"/>
    <w:rsid w:val="005B190E"/>
    <w:rsid w:val="005B443A"/>
    <w:rsid w:val="005B6310"/>
    <w:rsid w:val="005C222E"/>
    <w:rsid w:val="005C5F14"/>
    <w:rsid w:val="005D3CA0"/>
    <w:rsid w:val="005E084D"/>
    <w:rsid w:val="005F32EE"/>
    <w:rsid w:val="00600D77"/>
    <w:rsid w:val="006219BA"/>
    <w:rsid w:val="00625AC4"/>
    <w:rsid w:val="00631400"/>
    <w:rsid w:val="006334B0"/>
    <w:rsid w:val="00637A76"/>
    <w:rsid w:val="006475A8"/>
    <w:rsid w:val="00654128"/>
    <w:rsid w:val="00662351"/>
    <w:rsid w:val="00666910"/>
    <w:rsid w:val="006671F6"/>
    <w:rsid w:val="00671F39"/>
    <w:rsid w:val="00672ECB"/>
    <w:rsid w:val="00674226"/>
    <w:rsid w:val="006757B3"/>
    <w:rsid w:val="00675B10"/>
    <w:rsid w:val="00675EED"/>
    <w:rsid w:val="00685E2A"/>
    <w:rsid w:val="006873EA"/>
    <w:rsid w:val="006946E4"/>
    <w:rsid w:val="00696831"/>
    <w:rsid w:val="00697B84"/>
    <w:rsid w:val="006A2CEA"/>
    <w:rsid w:val="006C3267"/>
    <w:rsid w:val="006D05E4"/>
    <w:rsid w:val="006D17FB"/>
    <w:rsid w:val="006D72ED"/>
    <w:rsid w:val="006D7D43"/>
    <w:rsid w:val="006E1D7D"/>
    <w:rsid w:val="006E3701"/>
    <w:rsid w:val="006E78D7"/>
    <w:rsid w:val="006F409E"/>
    <w:rsid w:val="0070040F"/>
    <w:rsid w:val="007010A9"/>
    <w:rsid w:val="00702C36"/>
    <w:rsid w:val="007125AD"/>
    <w:rsid w:val="00723096"/>
    <w:rsid w:val="0073136E"/>
    <w:rsid w:val="00731447"/>
    <w:rsid w:val="00735DE2"/>
    <w:rsid w:val="0073794E"/>
    <w:rsid w:val="007422F8"/>
    <w:rsid w:val="00743A1D"/>
    <w:rsid w:val="00744D00"/>
    <w:rsid w:val="00747AD4"/>
    <w:rsid w:val="00750F79"/>
    <w:rsid w:val="0076132F"/>
    <w:rsid w:val="00762752"/>
    <w:rsid w:val="00765307"/>
    <w:rsid w:val="007654C1"/>
    <w:rsid w:val="007661BD"/>
    <w:rsid w:val="00767BAE"/>
    <w:rsid w:val="0078046A"/>
    <w:rsid w:val="007826DD"/>
    <w:rsid w:val="007832C5"/>
    <w:rsid w:val="007842C9"/>
    <w:rsid w:val="0078677D"/>
    <w:rsid w:val="00790BBB"/>
    <w:rsid w:val="00791568"/>
    <w:rsid w:val="007957FB"/>
    <w:rsid w:val="007A03A9"/>
    <w:rsid w:val="007A1245"/>
    <w:rsid w:val="007A3226"/>
    <w:rsid w:val="007A5CCF"/>
    <w:rsid w:val="007B6B76"/>
    <w:rsid w:val="007C30E6"/>
    <w:rsid w:val="007D13D7"/>
    <w:rsid w:val="007D340C"/>
    <w:rsid w:val="007D372C"/>
    <w:rsid w:val="007D408D"/>
    <w:rsid w:val="007D4805"/>
    <w:rsid w:val="007D58A2"/>
    <w:rsid w:val="007D61D6"/>
    <w:rsid w:val="007E50B0"/>
    <w:rsid w:val="007F0C77"/>
    <w:rsid w:val="007F1EEA"/>
    <w:rsid w:val="007F2D00"/>
    <w:rsid w:val="007F564D"/>
    <w:rsid w:val="007F6D2E"/>
    <w:rsid w:val="007F76DD"/>
    <w:rsid w:val="008047B8"/>
    <w:rsid w:val="00822B39"/>
    <w:rsid w:val="008233BE"/>
    <w:rsid w:val="008276B2"/>
    <w:rsid w:val="008311D3"/>
    <w:rsid w:val="00831B9A"/>
    <w:rsid w:val="00835FB1"/>
    <w:rsid w:val="008364F9"/>
    <w:rsid w:val="00840F02"/>
    <w:rsid w:val="008441A8"/>
    <w:rsid w:val="00855291"/>
    <w:rsid w:val="00856C96"/>
    <w:rsid w:val="00860B20"/>
    <w:rsid w:val="008624DB"/>
    <w:rsid w:val="00863215"/>
    <w:rsid w:val="0086375F"/>
    <w:rsid w:val="0086655A"/>
    <w:rsid w:val="008668D3"/>
    <w:rsid w:val="008706FD"/>
    <w:rsid w:val="00870E27"/>
    <w:rsid w:val="00880DFB"/>
    <w:rsid w:val="0088359F"/>
    <w:rsid w:val="0088385F"/>
    <w:rsid w:val="00884930"/>
    <w:rsid w:val="0088531B"/>
    <w:rsid w:val="00890D58"/>
    <w:rsid w:val="008938FC"/>
    <w:rsid w:val="00897AB5"/>
    <w:rsid w:val="008A045E"/>
    <w:rsid w:val="008A2D10"/>
    <w:rsid w:val="008A36A4"/>
    <w:rsid w:val="008A3B38"/>
    <w:rsid w:val="008A4B26"/>
    <w:rsid w:val="008A7804"/>
    <w:rsid w:val="008B02AE"/>
    <w:rsid w:val="008B3D6E"/>
    <w:rsid w:val="008B42FC"/>
    <w:rsid w:val="008C1858"/>
    <w:rsid w:val="008C6782"/>
    <w:rsid w:val="008D56C6"/>
    <w:rsid w:val="008D6AF0"/>
    <w:rsid w:val="008D78D2"/>
    <w:rsid w:val="008E17FA"/>
    <w:rsid w:val="008E207F"/>
    <w:rsid w:val="008E6C61"/>
    <w:rsid w:val="009014EA"/>
    <w:rsid w:val="00903895"/>
    <w:rsid w:val="00903ED4"/>
    <w:rsid w:val="009061A9"/>
    <w:rsid w:val="0090790B"/>
    <w:rsid w:val="009167B9"/>
    <w:rsid w:val="00917AF7"/>
    <w:rsid w:val="0092452F"/>
    <w:rsid w:val="00932200"/>
    <w:rsid w:val="009329AA"/>
    <w:rsid w:val="00933CF3"/>
    <w:rsid w:val="00946424"/>
    <w:rsid w:val="0095029D"/>
    <w:rsid w:val="00950A09"/>
    <w:rsid w:val="00951DDC"/>
    <w:rsid w:val="00952772"/>
    <w:rsid w:val="00957B46"/>
    <w:rsid w:val="009604A8"/>
    <w:rsid w:val="00961481"/>
    <w:rsid w:val="00961A26"/>
    <w:rsid w:val="009631F9"/>
    <w:rsid w:val="00966C07"/>
    <w:rsid w:val="009762EA"/>
    <w:rsid w:val="00977ACE"/>
    <w:rsid w:val="009809F4"/>
    <w:rsid w:val="009853ED"/>
    <w:rsid w:val="00990A75"/>
    <w:rsid w:val="00990F43"/>
    <w:rsid w:val="00992D05"/>
    <w:rsid w:val="009A05A4"/>
    <w:rsid w:val="009A1867"/>
    <w:rsid w:val="009A42C4"/>
    <w:rsid w:val="009A4CDD"/>
    <w:rsid w:val="009C438A"/>
    <w:rsid w:val="009C6F13"/>
    <w:rsid w:val="009D0A4B"/>
    <w:rsid w:val="009D265B"/>
    <w:rsid w:val="009D3236"/>
    <w:rsid w:val="009D3AEB"/>
    <w:rsid w:val="009D6AD1"/>
    <w:rsid w:val="009E0254"/>
    <w:rsid w:val="009E0E86"/>
    <w:rsid w:val="009E2BFF"/>
    <w:rsid w:val="009E4775"/>
    <w:rsid w:val="009E5825"/>
    <w:rsid w:val="009F7869"/>
    <w:rsid w:val="00A03751"/>
    <w:rsid w:val="00A07F58"/>
    <w:rsid w:val="00A11317"/>
    <w:rsid w:val="00A207E6"/>
    <w:rsid w:val="00A21392"/>
    <w:rsid w:val="00A254F5"/>
    <w:rsid w:val="00A339F0"/>
    <w:rsid w:val="00A34962"/>
    <w:rsid w:val="00A359E9"/>
    <w:rsid w:val="00A36783"/>
    <w:rsid w:val="00A36A1E"/>
    <w:rsid w:val="00A36B47"/>
    <w:rsid w:val="00A37509"/>
    <w:rsid w:val="00A5322B"/>
    <w:rsid w:val="00A53BA7"/>
    <w:rsid w:val="00A54F52"/>
    <w:rsid w:val="00A5706E"/>
    <w:rsid w:val="00A709A3"/>
    <w:rsid w:val="00A721BC"/>
    <w:rsid w:val="00A73F59"/>
    <w:rsid w:val="00A80D77"/>
    <w:rsid w:val="00A82362"/>
    <w:rsid w:val="00A92421"/>
    <w:rsid w:val="00A92F85"/>
    <w:rsid w:val="00A933F5"/>
    <w:rsid w:val="00AA23BF"/>
    <w:rsid w:val="00AA29FD"/>
    <w:rsid w:val="00AA378C"/>
    <w:rsid w:val="00AA418A"/>
    <w:rsid w:val="00AA572B"/>
    <w:rsid w:val="00AB0B3F"/>
    <w:rsid w:val="00AB1DCA"/>
    <w:rsid w:val="00AB489B"/>
    <w:rsid w:val="00AB6CC0"/>
    <w:rsid w:val="00AC03A5"/>
    <w:rsid w:val="00AC31E1"/>
    <w:rsid w:val="00AC4D1A"/>
    <w:rsid w:val="00AC5EDC"/>
    <w:rsid w:val="00AD1880"/>
    <w:rsid w:val="00AE0DFC"/>
    <w:rsid w:val="00AE2AA5"/>
    <w:rsid w:val="00AE4052"/>
    <w:rsid w:val="00AE7573"/>
    <w:rsid w:val="00AF26E3"/>
    <w:rsid w:val="00AF325D"/>
    <w:rsid w:val="00AF4664"/>
    <w:rsid w:val="00B01863"/>
    <w:rsid w:val="00B12CFE"/>
    <w:rsid w:val="00B17849"/>
    <w:rsid w:val="00B26954"/>
    <w:rsid w:val="00B274F4"/>
    <w:rsid w:val="00B32D76"/>
    <w:rsid w:val="00B341C5"/>
    <w:rsid w:val="00B364C4"/>
    <w:rsid w:val="00B37DD7"/>
    <w:rsid w:val="00B43B6E"/>
    <w:rsid w:val="00B4408B"/>
    <w:rsid w:val="00B45B11"/>
    <w:rsid w:val="00B460B8"/>
    <w:rsid w:val="00B51CD6"/>
    <w:rsid w:val="00B52486"/>
    <w:rsid w:val="00B56896"/>
    <w:rsid w:val="00B607DC"/>
    <w:rsid w:val="00B63D0B"/>
    <w:rsid w:val="00B70B00"/>
    <w:rsid w:val="00B746EC"/>
    <w:rsid w:val="00B75ACE"/>
    <w:rsid w:val="00B75B6F"/>
    <w:rsid w:val="00B85351"/>
    <w:rsid w:val="00B87FE3"/>
    <w:rsid w:val="00B938A8"/>
    <w:rsid w:val="00BA6B0E"/>
    <w:rsid w:val="00BB5E4F"/>
    <w:rsid w:val="00BB7A3A"/>
    <w:rsid w:val="00BC222B"/>
    <w:rsid w:val="00BC6A0C"/>
    <w:rsid w:val="00BD1638"/>
    <w:rsid w:val="00BD46AF"/>
    <w:rsid w:val="00BD60B2"/>
    <w:rsid w:val="00BD6130"/>
    <w:rsid w:val="00BD697D"/>
    <w:rsid w:val="00BD7147"/>
    <w:rsid w:val="00BE1649"/>
    <w:rsid w:val="00BE46A8"/>
    <w:rsid w:val="00C01E23"/>
    <w:rsid w:val="00C075A8"/>
    <w:rsid w:val="00C10D04"/>
    <w:rsid w:val="00C155AC"/>
    <w:rsid w:val="00C16E67"/>
    <w:rsid w:val="00C245D8"/>
    <w:rsid w:val="00C263FF"/>
    <w:rsid w:val="00C31720"/>
    <w:rsid w:val="00C32C4A"/>
    <w:rsid w:val="00C34DB7"/>
    <w:rsid w:val="00C43EDE"/>
    <w:rsid w:val="00C443BC"/>
    <w:rsid w:val="00C45935"/>
    <w:rsid w:val="00C53984"/>
    <w:rsid w:val="00C53C31"/>
    <w:rsid w:val="00C5562E"/>
    <w:rsid w:val="00C61941"/>
    <w:rsid w:val="00C64688"/>
    <w:rsid w:val="00C66388"/>
    <w:rsid w:val="00C66BA7"/>
    <w:rsid w:val="00C71111"/>
    <w:rsid w:val="00C73460"/>
    <w:rsid w:val="00C76D42"/>
    <w:rsid w:val="00C77CBB"/>
    <w:rsid w:val="00C81545"/>
    <w:rsid w:val="00C8485F"/>
    <w:rsid w:val="00C85CA5"/>
    <w:rsid w:val="00C86F5D"/>
    <w:rsid w:val="00C8725A"/>
    <w:rsid w:val="00C906E8"/>
    <w:rsid w:val="00C915ED"/>
    <w:rsid w:val="00C91C6F"/>
    <w:rsid w:val="00C92FD0"/>
    <w:rsid w:val="00C93914"/>
    <w:rsid w:val="00C96E3D"/>
    <w:rsid w:val="00CA11A7"/>
    <w:rsid w:val="00CA2D25"/>
    <w:rsid w:val="00CB3E59"/>
    <w:rsid w:val="00CC1068"/>
    <w:rsid w:val="00CC26DE"/>
    <w:rsid w:val="00CC2BBD"/>
    <w:rsid w:val="00CC3EF4"/>
    <w:rsid w:val="00CC5105"/>
    <w:rsid w:val="00CD4A09"/>
    <w:rsid w:val="00CE2AC0"/>
    <w:rsid w:val="00CE2C54"/>
    <w:rsid w:val="00CF5DEC"/>
    <w:rsid w:val="00D03305"/>
    <w:rsid w:val="00D03A7D"/>
    <w:rsid w:val="00D04067"/>
    <w:rsid w:val="00D05638"/>
    <w:rsid w:val="00D10166"/>
    <w:rsid w:val="00D101CE"/>
    <w:rsid w:val="00D10EB8"/>
    <w:rsid w:val="00D115D4"/>
    <w:rsid w:val="00D15B24"/>
    <w:rsid w:val="00D17378"/>
    <w:rsid w:val="00D20B35"/>
    <w:rsid w:val="00D21405"/>
    <w:rsid w:val="00D25C3C"/>
    <w:rsid w:val="00D25D7C"/>
    <w:rsid w:val="00D268E6"/>
    <w:rsid w:val="00D31255"/>
    <w:rsid w:val="00D36B14"/>
    <w:rsid w:val="00D37AA5"/>
    <w:rsid w:val="00D456AB"/>
    <w:rsid w:val="00D46695"/>
    <w:rsid w:val="00D5300B"/>
    <w:rsid w:val="00D55EF3"/>
    <w:rsid w:val="00D60771"/>
    <w:rsid w:val="00D62F57"/>
    <w:rsid w:val="00D6423D"/>
    <w:rsid w:val="00D669FA"/>
    <w:rsid w:val="00D70910"/>
    <w:rsid w:val="00D72E90"/>
    <w:rsid w:val="00D75BBE"/>
    <w:rsid w:val="00D77613"/>
    <w:rsid w:val="00D77C53"/>
    <w:rsid w:val="00D90FD1"/>
    <w:rsid w:val="00D92D4E"/>
    <w:rsid w:val="00D947A7"/>
    <w:rsid w:val="00DA032B"/>
    <w:rsid w:val="00DA17E3"/>
    <w:rsid w:val="00DB0153"/>
    <w:rsid w:val="00DB0572"/>
    <w:rsid w:val="00DB0D9F"/>
    <w:rsid w:val="00DB41A7"/>
    <w:rsid w:val="00DC602E"/>
    <w:rsid w:val="00DD1EAE"/>
    <w:rsid w:val="00DD6C6B"/>
    <w:rsid w:val="00DD7C3D"/>
    <w:rsid w:val="00DE009F"/>
    <w:rsid w:val="00DE09E3"/>
    <w:rsid w:val="00DE12AD"/>
    <w:rsid w:val="00DE17EA"/>
    <w:rsid w:val="00DE4E75"/>
    <w:rsid w:val="00DF2073"/>
    <w:rsid w:val="00DF3032"/>
    <w:rsid w:val="00DF69B5"/>
    <w:rsid w:val="00DF6ADE"/>
    <w:rsid w:val="00E00E12"/>
    <w:rsid w:val="00E0306E"/>
    <w:rsid w:val="00E032CC"/>
    <w:rsid w:val="00E10C2E"/>
    <w:rsid w:val="00E13315"/>
    <w:rsid w:val="00E14DB3"/>
    <w:rsid w:val="00E221A0"/>
    <w:rsid w:val="00E26C8B"/>
    <w:rsid w:val="00E275A8"/>
    <w:rsid w:val="00E404DB"/>
    <w:rsid w:val="00E430C6"/>
    <w:rsid w:val="00E44AA3"/>
    <w:rsid w:val="00E47F2E"/>
    <w:rsid w:val="00E54215"/>
    <w:rsid w:val="00E5453F"/>
    <w:rsid w:val="00E55237"/>
    <w:rsid w:val="00E55D0C"/>
    <w:rsid w:val="00E64169"/>
    <w:rsid w:val="00E658B3"/>
    <w:rsid w:val="00E6748D"/>
    <w:rsid w:val="00E85EC3"/>
    <w:rsid w:val="00E87469"/>
    <w:rsid w:val="00E9215D"/>
    <w:rsid w:val="00E9323A"/>
    <w:rsid w:val="00E93BC2"/>
    <w:rsid w:val="00E94D3E"/>
    <w:rsid w:val="00EA3883"/>
    <w:rsid w:val="00EA7680"/>
    <w:rsid w:val="00EA77E0"/>
    <w:rsid w:val="00EB2621"/>
    <w:rsid w:val="00EB396C"/>
    <w:rsid w:val="00ED0126"/>
    <w:rsid w:val="00ED3594"/>
    <w:rsid w:val="00ED61E4"/>
    <w:rsid w:val="00ED6DC3"/>
    <w:rsid w:val="00EE793B"/>
    <w:rsid w:val="00EF41F2"/>
    <w:rsid w:val="00EF6078"/>
    <w:rsid w:val="00F02F31"/>
    <w:rsid w:val="00F0528E"/>
    <w:rsid w:val="00F27636"/>
    <w:rsid w:val="00F30EC1"/>
    <w:rsid w:val="00F3203D"/>
    <w:rsid w:val="00F401AF"/>
    <w:rsid w:val="00F41860"/>
    <w:rsid w:val="00F47D4F"/>
    <w:rsid w:val="00F508B3"/>
    <w:rsid w:val="00F5132C"/>
    <w:rsid w:val="00F63215"/>
    <w:rsid w:val="00F656EB"/>
    <w:rsid w:val="00F65E58"/>
    <w:rsid w:val="00F855C0"/>
    <w:rsid w:val="00F90B42"/>
    <w:rsid w:val="00F91E4C"/>
    <w:rsid w:val="00F97104"/>
    <w:rsid w:val="00FA0711"/>
    <w:rsid w:val="00FB373B"/>
    <w:rsid w:val="00FB3EAE"/>
    <w:rsid w:val="00FC2320"/>
    <w:rsid w:val="00FC449E"/>
    <w:rsid w:val="00FC78CB"/>
    <w:rsid w:val="00FD003E"/>
    <w:rsid w:val="00FD69F0"/>
    <w:rsid w:val="00FD7141"/>
    <w:rsid w:val="00FE1FCB"/>
    <w:rsid w:val="00FE778D"/>
    <w:rsid w:val="00FF3F73"/>
    <w:rsid w:val="00FF41A8"/>
    <w:rsid w:val="00FF61F6"/>
    <w:rsid w:val="01B04C6D"/>
    <w:rsid w:val="01F569AD"/>
    <w:rsid w:val="066A8CCE"/>
    <w:rsid w:val="0672DDA7"/>
    <w:rsid w:val="088EEF9D"/>
    <w:rsid w:val="08B9669F"/>
    <w:rsid w:val="0C28705F"/>
    <w:rsid w:val="0CB156F4"/>
    <w:rsid w:val="0D6C607B"/>
    <w:rsid w:val="0F00FCD7"/>
    <w:rsid w:val="115673B0"/>
    <w:rsid w:val="1229743F"/>
    <w:rsid w:val="127218D2"/>
    <w:rsid w:val="13FA348B"/>
    <w:rsid w:val="1714CB29"/>
    <w:rsid w:val="173B4F11"/>
    <w:rsid w:val="1AA20580"/>
    <w:rsid w:val="1AACF4DF"/>
    <w:rsid w:val="1E056F21"/>
    <w:rsid w:val="28AB6608"/>
    <w:rsid w:val="291661ED"/>
    <w:rsid w:val="2A7B8301"/>
    <w:rsid w:val="2AB845F5"/>
    <w:rsid w:val="2B5AC7F4"/>
    <w:rsid w:val="2BCBE846"/>
    <w:rsid w:val="2C20924A"/>
    <w:rsid w:val="2FDB4A12"/>
    <w:rsid w:val="31E68E4D"/>
    <w:rsid w:val="4135AA6E"/>
    <w:rsid w:val="4218F7EB"/>
    <w:rsid w:val="42A20509"/>
    <w:rsid w:val="44C9BF5E"/>
    <w:rsid w:val="450C4CE7"/>
    <w:rsid w:val="48D2A6EE"/>
    <w:rsid w:val="49FA2C04"/>
    <w:rsid w:val="4A6EBF37"/>
    <w:rsid w:val="4ABDD623"/>
    <w:rsid w:val="4EB2946F"/>
    <w:rsid w:val="4FE1A056"/>
    <w:rsid w:val="501B9E54"/>
    <w:rsid w:val="5059C73C"/>
    <w:rsid w:val="52185651"/>
    <w:rsid w:val="55E80E25"/>
    <w:rsid w:val="56094CFA"/>
    <w:rsid w:val="564E7EA6"/>
    <w:rsid w:val="5665A017"/>
    <w:rsid w:val="57463DFE"/>
    <w:rsid w:val="58DB6D4A"/>
    <w:rsid w:val="593860BE"/>
    <w:rsid w:val="5B001AE0"/>
    <w:rsid w:val="5B1194D1"/>
    <w:rsid w:val="5BBA3E48"/>
    <w:rsid w:val="5DCC55F7"/>
    <w:rsid w:val="5F950C21"/>
    <w:rsid w:val="5FDFEAEF"/>
    <w:rsid w:val="60A23B50"/>
    <w:rsid w:val="658BFD73"/>
    <w:rsid w:val="67394AEA"/>
    <w:rsid w:val="6741836F"/>
    <w:rsid w:val="6742FCBE"/>
    <w:rsid w:val="678CA594"/>
    <w:rsid w:val="6A3AECC4"/>
    <w:rsid w:val="6C6CE80F"/>
    <w:rsid w:val="6CF512B7"/>
    <w:rsid w:val="6EAF10B7"/>
    <w:rsid w:val="6EEB94DB"/>
    <w:rsid w:val="7300E46F"/>
    <w:rsid w:val="751FFA8C"/>
    <w:rsid w:val="758C0CDF"/>
    <w:rsid w:val="787451B4"/>
    <w:rsid w:val="7904896D"/>
    <w:rsid w:val="797E698A"/>
    <w:rsid w:val="7CD8D9DF"/>
    <w:rsid w:val="7D07AD56"/>
    <w:rsid w:val="7E5A8C4F"/>
    <w:rsid w:val="7E841464"/>
    <w:rsid w:val="7EAFCB57"/>
    <w:rsid w:val="7F6896F8"/>
    <w:rsid w:val="7F72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77FAF"/>
  <w15:docId w15:val="{46EAE21F-D69B-499C-BF5D-724641AC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B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31255"/>
    <w:pPr>
      <w:keepNext/>
      <w:spacing w:after="0" w:line="240" w:lineRule="auto"/>
      <w:jc w:val="right"/>
      <w:outlineLvl w:val="1"/>
    </w:pPr>
    <w:rPr>
      <w:rFonts w:ascii="Arial" w:eastAsia="Times New Roman" w:hAnsi="Arial" w:cs="Times New Roman"/>
      <w:sz w:val="24"/>
      <w:szCs w:val="20"/>
    </w:rPr>
  </w:style>
  <w:style w:type="paragraph" w:styleId="Heading3">
    <w:name w:val="heading 3"/>
    <w:basedOn w:val="Normal"/>
    <w:next w:val="Normal"/>
    <w:link w:val="Heading3Char"/>
    <w:uiPriority w:val="9"/>
    <w:semiHidden/>
    <w:unhideWhenUsed/>
    <w:qFormat/>
    <w:rsid w:val="00F27636"/>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276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3125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4F5"/>
    <w:rPr>
      <w:rFonts w:ascii="Tahoma" w:hAnsi="Tahoma" w:cs="Tahoma"/>
      <w:sz w:val="16"/>
      <w:szCs w:val="16"/>
    </w:rPr>
  </w:style>
  <w:style w:type="paragraph" w:styleId="Header">
    <w:name w:val="header"/>
    <w:basedOn w:val="Normal"/>
    <w:link w:val="HeaderChar"/>
    <w:uiPriority w:val="99"/>
    <w:unhideWhenUsed/>
    <w:rsid w:val="002F2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3E6"/>
  </w:style>
  <w:style w:type="paragraph" w:styleId="Footer">
    <w:name w:val="footer"/>
    <w:basedOn w:val="Normal"/>
    <w:link w:val="FooterChar"/>
    <w:uiPriority w:val="99"/>
    <w:unhideWhenUsed/>
    <w:rsid w:val="002F2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3E6"/>
  </w:style>
  <w:style w:type="character" w:customStyle="1" w:styleId="Heading2Char">
    <w:name w:val="Heading 2 Char"/>
    <w:basedOn w:val="DefaultParagraphFont"/>
    <w:link w:val="Heading2"/>
    <w:rsid w:val="00D31255"/>
    <w:rPr>
      <w:rFonts w:ascii="Arial" w:eastAsia="Times New Roman" w:hAnsi="Arial" w:cs="Times New Roman"/>
      <w:sz w:val="24"/>
      <w:szCs w:val="20"/>
    </w:rPr>
  </w:style>
  <w:style w:type="character" w:customStyle="1" w:styleId="Heading7Char">
    <w:name w:val="Heading 7 Char"/>
    <w:basedOn w:val="DefaultParagraphFont"/>
    <w:link w:val="Heading7"/>
    <w:uiPriority w:val="9"/>
    <w:semiHidden/>
    <w:rsid w:val="00D31255"/>
    <w:rPr>
      <w:rFonts w:asciiTheme="majorHAnsi" w:eastAsiaTheme="majorEastAsia" w:hAnsiTheme="majorHAnsi" w:cstheme="majorBidi"/>
      <w:i/>
      <w:iCs/>
      <w:color w:val="404040" w:themeColor="text1" w:themeTint="BF"/>
    </w:rPr>
  </w:style>
  <w:style w:type="paragraph" w:customStyle="1" w:styleId="style1">
    <w:name w:val="style1"/>
    <w:basedOn w:val="Normal"/>
    <w:rsid w:val="00CA2D25"/>
    <w:pPr>
      <w:spacing w:before="100" w:beforeAutospacing="1" w:after="100" w:afterAutospacing="1" w:line="240" w:lineRule="auto"/>
    </w:pPr>
    <w:rPr>
      <w:rFonts w:ascii="Verdana" w:hAnsi="Verdana" w:cs="Times New Roman"/>
      <w:sz w:val="24"/>
      <w:szCs w:val="24"/>
      <w:lang w:eastAsia="en-GB"/>
    </w:rPr>
  </w:style>
  <w:style w:type="paragraph" w:styleId="ListParagraph">
    <w:name w:val="List Paragraph"/>
    <w:basedOn w:val="Normal"/>
    <w:link w:val="ListParagraphChar"/>
    <w:uiPriority w:val="34"/>
    <w:qFormat/>
    <w:rsid w:val="00E55237"/>
    <w:pPr>
      <w:ind w:left="720"/>
      <w:contextualSpacing/>
    </w:pPr>
  </w:style>
  <w:style w:type="paragraph" w:styleId="NormalWeb">
    <w:name w:val="Normal (Web)"/>
    <w:basedOn w:val="Normal"/>
    <w:uiPriority w:val="99"/>
    <w:unhideWhenUsed/>
    <w:rsid w:val="008E6C6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063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F5DEC"/>
    <w:rPr>
      <w:color w:val="0000FF"/>
      <w:u w:val="single"/>
    </w:rPr>
  </w:style>
  <w:style w:type="paragraph" w:customStyle="1" w:styleId="imprintuniqueid">
    <w:name w:val="imprintuniqueid"/>
    <w:basedOn w:val="Normal"/>
    <w:uiPriority w:val="99"/>
    <w:rsid w:val="00D115D4"/>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E93BC2"/>
    <w:rPr>
      <w:b/>
      <w:bCs/>
    </w:rPr>
  </w:style>
  <w:style w:type="paragraph" w:customStyle="1" w:styleId="Default">
    <w:name w:val="Default"/>
    <w:rsid w:val="0043298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831B9A"/>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831B9A"/>
  </w:style>
  <w:style w:type="character" w:customStyle="1" w:styleId="author">
    <w:name w:val="author"/>
    <w:basedOn w:val="DefaultParagraphFont"/>
    <w:rsid w:val="00831B9A"/>
  </w:style>
  <w:style w:type="character" w:customStyle="1" w:styleId="hentry-date">
    <w:name w:val="hentry-date"/>
    <w:basedOn w:val="DefaultParagraphFont"/>
    <w:rsid w:val="00831B9A"/>
  </w:style>
  <w:style w:type="character" w:customStyle="1" w:styleId="hentry-time">
    <w:name w:val="hentry-time"/>
    <w:basedOn w:val="DefaultParagraphFont"/>
    <w:rsid w:val="00831B9A"/>
  </w:style>
  <w:style w:type="paragraph" w:customStyle="1" w:styleId="post-meta">
    <w:name w:val="post-meta"/>
    <w:basedOn w:val="Normal"/>
    <w:rsid w:val="00182B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ost-meta-author">
    <w:name w:val="post-meta-author"/>
    <w:basedOn w:val="DefaultParagraphFont"/>
    <w:rsid w:val="00182BBB"/>
  </w:style>
  <w:style w:type="character" w:customStyle="1" w:styleId="post-cats">
    <w:name w:val="post-cats"/>
    <w:basedOn w:val="DefaultParagraphFont"/>
    <w:rsid w:val="00182BBB"/>
  </w:style>
  <w:style w:type="character" w:customStyle="1" w:styleId="tie-date">
    <w:name w:val="tie-date"/>
    <w:basedOn w:val="DefaultParagraphFont"/>
    <w:rsid w:val="00182BBB"/>
  </w:style>
  <w:style w:type="character" w:customStyle="1" w:styleId="post-comments">
    <w:name w:val="post-comments"/>
    <w:basedOn w:val="DefaultParagraphFont"/>
    <w:rsid w:val="00182BBB"/>
  </w:style>
  <w:style w:type="character" w:customStyle="1" w:styleId="Heading3Char">
    <w:name w:val="Heading 3 Char"/>
    <w:basedOn w:val="DefaultParagraphFont"/>
    <w:link w:val="Heading3"/>
    <w:uiPriority w:val="9"/>
    <w:semiHidden/>
    <w:rsid w:val="00F27636"/>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F27636"/>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F27636"/>
    <w:rPr>
      <w:i/>
      <w:iCs/>
    </w:rPr>
  </w:style>
  <w:style w:type="paragraph" w:styleId="NoSpacing">
    <w:name w:val="No Spacing"/>
    <w:uiPriority w:val="1"/>
    <w:qFormat/>
    <w:rsid w:val="008B42FC"/>
    <w:pPr>
      <w:spacing w:after="0" w:line="240" w:lineRule="auto"/>
    </w:pPr>
  </w:style>
  <w:style w:type="character" w:styleId="UnresolvedMention">
    <w:name w:val="Unresolved Mention"/>
    <w:basedOn w:val="DefaultParagraphFont"/>
    <w:uiPriority w:val="99"/>
    <w:semiHidden/>
    <w:unhideWhenUsed/>
    <w:rsid w:val="0090790B"/>
    <w:rPr>
      <w:color w:val="605E5C"/>
      <w:shd w:val="clear" w:color="auto" w:fill="E1DFDD"/>
    </w:rPr>
  </w:style>
  <w:style w:type="character" w:customStyle="1" w:styleId="ListParagraphChar">
    <w:name w:val="List Paragraph Char"/>
    <w:basedOn w:val="DefaultParagraphFont"/>
    <w:link w:val="ListParagraph"/>
    <w:uiPriority w:val="34"/>
    <w:rsid w:val="00ED3594"/>
  </w:style>
  <w:style w:type="character" w:styleId="FollowedHyperlink">
    <w:name w:val="FollowedHyperlink"/>
    <w:basedOn w:val="DefaultParagraphFont"/>
    <w:uiPriority w:val="99"/>
    <w:semiHidden/>
    <w:unhideWhenUsed/>
    <w:rsid w:val="00320840"/>
    <w:rPr>
      <w:color w:val="800080" w:themeColor="followedHyperlink"/>
      <w:u w:val="single"/>
    </w:rPr>
  </w:style>
  <w:style w:type="paragraph" w:styleId="FootnoteText">
    <w:name w:val="footnote text"/>
    <w:basedOn w:val="Normal"/>
    <w:link w:val="FootnoteTextChar"/>
    <w:uiPriority w:val="99"/>
    <w:semiHidden/>
    <w:unhideWhenUsed/>
    <w:rsid w:val="00320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840"/>
    <w:rPr>
      <w:sz w:val="20"/>
      <w:szCs w:val="20"/>
    </w:rPr>
  </w:style>
  <w:style w:type="character" w:styleId="FootnoteReference">
    <w:name w:val="footnote reference"/>
    <w:basedOn w:val="DefaultParagraphFont"/>
    <w:uiPriority w:val="99"/>
    <w:semiHidden/>
    <w:unhideWhenUsed/>
    <w:rsid w:val="00320840"/>
    <w:rPr>
      <w:vertAlign w:val="superscript"/>
    </w:rPr>
  </w:style>
  <w:style w:type="character" w:styleId="CommentReference">
    <w:name w:val="annotation reference"/>
    <w:basedOn w:val="DefaultParagraphFont"/>
    <w:uiPriority w:val="99"/>
    <w:semiHidden/>
    <w:unhideWhenUsed/>
    <w:rsid w:val="00FB3EAE"/>
    <w:rPr>
      <w:sz w:val="16"/>
      <w:szCs w:val="16"/>
    </w:rPr>
  </w:style>
  <w:style w:type="paragraph" w:styleId="CommentText">
    <w:name w:val="annotation text"/>
    <w:basedOn w:val="Normal"/>
    <w:link w:val="CommentTextChar"/>
    <w:uiPriority w:val="99"/>
    <w:unhideWhenUsed/>
    <w:rsid w:val="00FB3EAE"/>
    <w:pPr>
      <w:spacing w:line="240" w:lineRule="auto"/>
    </w:pPr>
    <w:rPr>
      <w:sz w:val="20"/>
      <w:szCs w:val="20"/>
    </w:rPr>
  </w:style>
  <w:style w:type="character" w:customStyle="1" w:styleId="CommentTextChar">
    <w:name w:val="Comment Text Char"/>
    <w:basedOn w:val="DefaultParagraphFont"/>
    <w:link w:val="CommentText"/>
    <w:uiPriority w:val="99"/>
    <w:rsid w:val="00FB3EAE"/>
    <w:rPr>
      <w:sz w:val="20"/>
      <w:szCs w:val="20"/>
    </w:rPr>
  </w:style>
  <w:style w:type="paragraph" w:styleId="CommentSubject">
    <w:name w:val="annotation subject"/>
    <w:basedOn w:val="CommentText"/>
    <w:next w:val="CommentText"/>
    <w:link w:val="CommentSubjectChar"/>
    <w:uiPriority w:val="99"/>
    <w:semiHidden/>
    <w:unhideWhenUsed/>
    <w:rsid w:val="00FB3EAE"/>
    <w:rPr>
      <w:b/>
      <w:bCs/>
    </w:rPr>
  </w:style>
  <w:style w:type="character" w:customStyle="1" w:styleId="CommentSubjectChar">
    <w:name w:val="Comment Subject Char"/>
    <w:basedOn w:val="CommentTextChar"/>
    <w:link w:val="CommentSubject"/>
    <w:uiPriority w:val="99"/>
    <w:semiHidden/>
    <w:rsid w:val="00FB3EAE"/>
    <w:rPr>
      <w:b/>
      <w:bCs/>
      <w:sz w:val="20"/>
      <w:szCs w:val="20"/>
    </w:rPr>
  </w:style>
  <w:style w:type="paragraph" w:styleId="Revision">
    <w:name w:val="Revision"/>
    <w:hidden/>
    <w:uiPriority w:val="99"/>
    <w:semiHidden/>
    <w:rsid w:val="00906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82">
      <w:bodyDiv w:val="1"/>
      <w:marLeft w:val="0"/>
      <w:marRight w:val="0"/>
      <w:marTop w:val="0"/>
      <w:marBottom w:val="0"/>
      <w:divBdr>
        <w:top w:val="none" w:sz="0" w:space="0" w:color="auto"/>
        <w:left w:val="none" w:sz="0" w:space="0" w:color="auto"/>
        <w:bottom w:val="none" w:sz="0" w:space="0" w:color="auto"/>
        <w:right w:val="none" w:sz="0" w:space="0" w:color="auto"/>
      </w:divBdr>
    </w:div>
    <w:div w:id="11494274">
      <w:bodyDiv w:val="1"/>
      <w:marLeft w:val="0"/>
      <w:marRight w:val="0"/>
      <w:marTop w:val="0"/>
      <w:marBottom w:val="0"/>
      <w:divBdr>
        <w:top w:val="none" w:sz="0" w:space="0" w:color="auto"/>
        <w:left w:val="none" w:sz="0" w:space="0" w:color="auto"/>
        <w:bottom w:val="none" w:sz="0" w:space="0" w:color="auto"/>
        <w:right w:val="none" w:sz="0" w:space="0" w:color="auto"/>
      </w:divBdr>
    </w:div>
    <w:div w:id="61679997">
      <w:bodyDiv w:val="1"/>
      <w:marLeft w:val="0"/>
      <w:marRight w:val="0"/>
      <w:marTop w:val="0"/>
      <w:marBottom w:val="0"/>
      <w:divBdr>
        <w:top w:val="none" w:sz="0" w:space="0" w:color="auto"/>
        <w:left w:val="none" w:sz="0" w:space="0" w:color="auto"/>
        <w:bottom w:val="none" w:sz="0" w:space="0" w:color="auto"/>
        <w:right w:val="none" w:sz="0" w:space="0" w:color="auto"/>
      </w:divBdr>
      <w:divsChild>
        <w:div w:id="892933796">
          <w:marLeft w:val="0"/>
          <w:marRight w:val="0"/>
          <w:marTop w:val="0"/>
          <w:marBottom w:val="0"/>
          <w:divBdr>
            <w:top w:val="none" w:sz="0" w:space="0" w:color="auto"/>
            <w:left w:val="none" w:sz="0" w:space="0" w:color="auto"/>
            <w:bottom w:val="none" w:sz="0" w:space="0" w:color="auto"/>
            <w:right w:val="none" w:sz="0" w:space="0" w:color="auto"/>
          </w:divBdr>
          <w:divsChild>
            <w:div w:id="1224679354">
              <w:marLeft w:val="0"/>
              <w:marRight w:val="0"/>
              <w:marTop w:val="225"/>
              <w:marBottom w:val="150"/>
              <w:divBdr>
                <w:top w:val="none" w:sz="0" w:space="0" w:color="auto"/>
                <w:left w:val="none" w:sz="0" w:space="0" w:color="auto"/>
                <w:bottom w:val="none" w:sz="0" w:space="0" w:color="auto"/>
                <w:right w:val="none" w:sz="0" w:space="0" w:color="auto"/>
              </w:divBdr>
            </w:div>
          </w:divsChild>
        </w:div>
        <w:div w:id="731662117">
          <w:marLeft w:val="0"/>
          <w:marRight w:val="0"/>
          <w:marTop w:val="0"/>
          <w:marBottom w:val="0"/>
          <w:divBdr>
            <w:top w:val="none" w:sz="0" w:space="0" w:color="auto"/>
            <w:left w:val="none" w:sz="0" w:space="0" w:color="auto"/>
            <w:bottom w:val="none" w:sz="0" w:space="0" w:color="auto"/>
            <w:right w:val="none" w:sz="0" w:space="0" w:color="auto"/>
          </w:divBdr>
        </w:div>
      </w:divsChild>
    </w:div>
    <w:div w:id="72901050">
      <w:bodyDiv w:val="1"/>
      <w:marLeft w:val="0"/>
      <w:marRight w:val="0"/>
      <w:marTop w:val="0"/>
      <w:marBottom w:val="0"/>
      <w:divBdr>
        <w:top w:val="none" w:sz="0" w:space="0" w:color="auto"/>
        <w:left w:val="none" w:sz="0" w:space="0" w:color="auto"/>
        <w:bottom w:val="none" w:sz="0" w:space="0" w:color="auto"/>
        <w:right w:val="none" w:sz="0" w:space="0" w:color="auto"/>
      </w:divBdr>
      <w:divsChild>
        <w:div w:id="176431205">
          <w:marLeft w:val="0"/>
          <w:marRight w:val="0"/>
          <w:marTop w:val="0"/>
          <w:marBottom w:val="0"/>
          <w:divBdr>
            <w:top w:val="none" w:sz="0" w:space="0" w:color="auto"/>
            <w:left w:val="none" w:sz="0" w:space="0" w:color="auto"/>
            <w:bottom w:val="none" w:sz="0" w:space="0" w:color="auto"/>
            <w:right w:val="none" w:sz="0" w:space="0" w:color="auto"/>
          </w:divBdr>
        </w:div>
        <w:div w:id="1460764658">
          <w:marLeft w:val="0"/>
          <w:marRight w:val="0"/>
          <w:marTop w:val="0"/>
          <w:marBottom w:val="0"/>
          <w:divBdr>
            <w:top w:val="none" w:sz="0" w:space="0" w:color="auto"/>
            <w:left w:val="none" w:sz="0" w:space="0" w:color="auto"/>
            <w:bottom w:val="none" w:sz="0" w:space="0" w:color="auto"/>
            <w:right w:val="none" w:sz="0" w:space="0" w:color="auto"/>
          </w:divBdr>
        </w:div>
      </w:divsChild>
    </w:div>
    <w:div w:id="73094858">
      <w:bodyDiv w:val="1"/>
      <w:marLeft w:val="0"/>
      <w:marRight w:val="0"/>
      <w:marTop w:val="0"/>
      <w:marBottom w:val="0"/>
      <w:divBdr>
        <w:top w:val="none" w:sz="0" w:space="0" w:color="auto"/>
        <w:left w:val="none" w:sz="0" w:space="0" w:color="auto"/>
        <w:bottom w:val="none" w:sz="0" w:space="0" w:color="auto"/>
        <w:right w:val="none" w:sz="0" w:space="0" w:color="auto"/>
      </w:divBdr>
    </w:div>
    <w:div w:id="224224088">
      <w:bodyDiv w:val="1"/>
      <w:marLeft w:val="0"/>
      <w:marRight w:val="0"/>
      <w:marTop w:val="0"/>
      <w:marBottom w:val="0"/>
      <w:divBdr>
        <w:top w:val="none" w:sz="0" w:space="0" w:color="auto"/>
        <w:left w:val="none" w:sz="0" w:space="0" w:color="auto"/>
        <w:bottom w:val="none" w:sz="0" w:space="0" w:color="auto"/>
        <w:right w:val="none" w:sz="0" w:space="0" w:color="auto"/>
      </w:divBdr>
    </w:div>
    <w:div w:id="268776562">
      <w:bodyDiv w:val="1"/>
      <w:marLeft w:val="0"/>
      <w:marRight w:val="0"/>
      <w:marTop w:val="0"/>
      <w:marBottom w:val="0"/>
      <w:divBdr>
        <w:top w:val="none" w:sz="0" w:space="0" w:color="auto"/>
        <w:left w:val="none" w:sz="0" w:space="0" w:color="auto"/>
        <w:bottom w:val="none" w:sz="0" w:space="0" w:color="auto"/>
        <w:right w:val="none" w:sz="0" w:space="0" w:color="auto"/>
      </w:divBdr>
    </w:div>
    <w:div w:id="365571513">
      <w:bodyDiv w:val="1"/>
      <w:marLeft w:val="0"/>
      <w:marRight w:val="0"/>
      <w:marTop w:val="0"/>
      <w:marBottom w:val="0"/>
      <w:divBdr>
        <w:top w:val="none" w:sz="0" w:space="0" w:color="auto"/>
        <w:left w:val="none" w:sz="0" w:space="0" w:color="auto"/>
        <w:bottom w:val="none" w:sz="0" w:space="0" w:color="auto"/>
        <w:right w:val="none" w:sz="0" w:space="0" w:color="auto"/>
      </w:divBdr>
    </w:div>
    <w:div w:id="384641857">
      <w:bodyDiv w:val="1"/>
      <w:marLeft w:val="0"/>
      <w:marRight w:val="0"/>
      <w:marTop w:val="0"/>
      <w:marBottom w:val="0"/>
      <w:divBdr>
        <w:top w:val="none" w:sz="0" w:space="0" w:color="auto"/>
        <w:left w:val="none" w:sz="0" w:space="0" w:color="auto"/>
        <w:bottom w:val="none" w:sz="0" w:space="0" w:color="auto"/>
        <w:right w:val="none" w:sz="0" w:space="0" w:color="auto"/>
      </w:divBdr>
      <w:divsChild>
        <w:div w:id="1188518625">
          <w:marLeft w:val="0"/>
          <w:marRight w:val="0"/>
          <w:marTop w:val="0"/>
          <w:marBottom w:val="0"/>
          <w:divBdr>
            <w:top w:val="none" w:sz="0" w:space="0" w:color="auto"/>
            <w:left w:val="none" w:sz="0" w:space="0" w:color="auto"/>
            <w:bottom w:val="none" w:sz="0" w:space="0" w:color="auto"/>
            <w:right w:val="none" w:sz="0" w:space="0" w:color="auto"/>
          </w:divBdr>
          <w:divsChild>
            <w:div w:id="1729567908">
              <w:marLeft w:val="0"/>
              <w:marRight w:val="0"/>
              <w:marTop w:val="0"/>
              <w:marBottom w:val="0"/>
              <w:divBdr>
                <w:top w:val="none" w:sz="0" w:space="0" w:color="auto"/>
                <w:left w:val="none" w:sz="0" w:space="0" w:color="auto"/>
                <w:bottom w:val="none" w:sz="0" w:space="0" w:color="auto"/>
                <w:right w:val="none" w:sz="0" w:space="0" w:color="auto"/>
              </w:divBdr>
              <w:divsChild>
                <w:div w:id="1501311799">
                  <w:marLeft w:val="0"/>
                  <w:marRight w:val="0"/>
                  <w:marTop w:val="150"/>
                  <w:marBottom w:val="150"/>
                  <w:divBdr>
                    <w:top w:val="none" w:sz="0" w:space="0" w:color="auto"/>
                    <w:left w:val="none" w:sz="0" w:space="0" w:color="auto"/>
                    <w:bottom w:val="none" w:sz="0" w:space="0" w:color="auto"/>
                    <w:right w:val="none" w:sz="0" w:space="0" w:color="auto"/>
                  </w:divBdr>
                  <w:divsChild>
                    <w:div w:id="1743286646">
                      <w:marLeft w:val="0"/>
                      <w:marRight w:val="0"/>
                      <w:marTop w:val="0"/>
                      <w:marBottom w:val="0"/>
                      <w:divBdr>
                        <w:top w:val="none" w:sz="0" w:space="0" w:color="auto"/>
                        <w:left w:val="none" w:sz="0" w:space="0" w:color="auto"/>
                        <w:bottom w:val="none" w:sz="0" w:space="0" w:color="auto"/>
                        <w:right w:val="none" w:sz="0" w:space="0" w:color="auto"/>
                      </w:divBdr>
                      <w:divsChild>
                        <w:div w:id="1468668312">
                          <w:marLeft w:val="150"/>
                          <w:marRight w:val="150"/>
                          <w:marTop w:val="0"/>
                          <w:marBottom w:val="0"/>
                          <w:divBdr>
                            <w:top w:val="none" w:sz="0" w:space="0" w:color="auto"/>
                            <w:left w:val="none" w:sz="0" w:space="0" w:color="auto"/>
                            <w:bottom w:val="none" w:sz="0" w:space="0" w:color="auto"/>
                            <w:right w:val="none" w:sz="0" w:space="0" w:color="auto"/>
                          </w:divBdr>
                          <w:divsChild>
                            <w:div w:id="866530804">
                              <w:marLeft w:val="0"/>
                              <w:marRight w:val="0"/>
                              <w:marTop w:val="0"/>
                              <w:marBottom w:val="27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385644495">
      <w:bodyDiv w:val="1"/>
      <w:marLeft w:val="0"/>
      <w:marRight w:val="0"/>
      <w:marTop w:val="0"/>
      <w:marBottom w:val="0"/>
      <w:divBdr>
        <w:top w:val="none" w:sz="0" w:space="0" w:color="auto"/>
        <w:left w:val="none" w:sz="0" w:space="0" w:color="auto"/>
        <w:bottom w:val="none" w:sz="0" w:space="0" w:color="auto"/>
        <w:right w:val="none" w:sz="0" w:space="0" w:color="auto"/>
      </w:divBdr>
    </w:div>
    <w:div w:id="469059327">
      <w:bodyDiv w:val="1"/>
      <w:marLeft w:val="0"/>
      <w:marRight w:val="0"/>
      <w:marTop w:val="0"/>
      <w:marBottom w:val="0"/>
      <w:divBdr>
        <w:top w:val="none" w:sz="0" w:space="0" w:color="auto"/>
        <w:left w:val="none" w:sz="0" w:space="0" w:color="auto"/>
        <w:bottom w:val="none" w:sz="0" w:space="0" w:color="auto"/>
        <w:right w:val="none" w:sz="0" w:space="0" w:color="auto"/>
      </w:divBdr>
      <w:divsChild>
        <w:div w:id="63454795">
          <w:marLeft w:val="0"/>
          <w:marRight w:val="0"/>
          <w:marTop w:val="0"/>
          <w:marBottom w:val="0"/>
          <w:divBdr>
            <w:top w:val="none" w:sz="0" w:space="0" w:color="auto"/>
            <w:left w:val="none" w:sz="0" w:space="0" w:color="auto"/>
            <w:bottom w:val="none" w:sz="0" w:space="0" w:color="auto"/>
            <w:right w:val="none" w:sz="0" w:space="0" w:color="auto"/>
          </w:divBdr>
        </w:div>
        <w:div w:id="1520435506">
          <w:marLeft w:val="0"/>
          <w:marRight w:val="0"/>
          <w:marTop w:val="0"/>
          <w:marBottom w:val="0"/>
          <w:divBdr>
            <w:top w:val="none" w:sz="0" w:space="0" w:color="auto"/>
            <w:left w:val="none" w:sz="0" w:space="0" w:color="auto"/>
            <w:bottom w:val="none" w:sz="0" w:space="0" w:color="auto"/>
            <w:right w:val="none" w:sz="0" w:space="0" w:color="auto"/>
          </w:divBdr>
        </w:div>
        <w:div w:id="1589267328">
          <w:marLeft w:val="0"/>
          <w:marRight w:val="0"/>
          <w:marTop w:val="0"/>
          <w:marBottom w:val="0"/>
          <w:divBdr>
            <w:top w:val="none" w:sz="0" w:space="0" w:color="auto"/>
            <w:left w:val="none" w:sz="0" w:space="0" w:color="auto"/>
            <w:bottom w:val="none" w:sz="0" w:space="0" w:color="auto"/>
            <w:right w:val="none" w:sz="0" w:space="0" w:color="auto"/>
          </w:divBdr>
          <w:divsChild>
            <w:div w:id="16217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9143">
      <w:bodyDiv w:val="1"/>
      <w:marLeft w:val="0"/>
      <w:marRight w:val="0"/>
      <w:marTop w:val="0"/>
      <w:marBottom w:val="0"/>
      <w:divBdr>
        <w:top w:val="none" w:sz="0" w:space="0" w:color="auto"/>
        <w:left w:val="none" w:sz="0" w:space="0" w:color="auto"/>
        <w:bottom w:val="none" w:sz="0" w:space="0" w:color="auto"/>
        <w:right w:val="none" w:sz="0" w:space="0" w:color="auto"/>
      </w:divBdr>
    </w:div>
    <w:div w:id="578448233">
      <w:bodyDiv w:val="1"/>
      <w:marLeft w:val="0"/>
      <w:marRight w:val="0"/>
      <w:marTop w:val="0"/>
      <w:marBottom w:val="0"/>
      <w:divBdr>
        <w:top w:val="none" w:sz="0" w:space="0" w:color="auto"/>
        <w:left w:val="none" w:sz="0" w:space="0" w:color="auto"/>
        <w:bottom w:val="none" w:sz="0" w:space="0" w:color="auto"/>
        <w:right w:val="none" w:sz="0" w:space="0" w:color="auto"/>
      </w:divBdr>
    </w:div>
    <w:div w:id="704797345">
      <w:bodyDiv w:val="1"/>
      <w:marLeft w:val="0"/>
      <w:marRight w:val="0"/>
      <w:marTop w:val="0"/>
      <w:marBottom w:val="0"/>
      <w:divBdr>
        <w:top w:val="none" w:sz="0" w:space="0" w:color="auto"/>
        <w:left w:val="none" w:sz="0" w:space="0" w:color="auto"/>
        <w:bottom w:val="none" w:sz="0" w:space="0" w:color="auto"/>
        <w:right w:val="none" w:sz="0" w:space="0" w:color="auto"/>
      </w:divBdr>
    </w:div>
    <w:div w:id="766462058">
      <w:bodyDiv w:val="1"/>
      <w:marLeft w:val="0"/>
      <w:marRight w:val="0"/>
      <w:marTop w:val="0"/>
      <w:marBottom w:val="0"/>
      <w:divBdr>
        <w:top w:val="none" w:sz="0" w:space="0" w:color="auto"/>
        <w:left w:val="none" w:sz="0" w:space="0" w:color="auto"/>
        <w:bottom w:val="none" w:sz="0" w:space="0" w:color="auto"/>
        <w:right w:val="none" w:sz="0" w:space="0" w:color="auto"/>
      </w:divBdr>
    </w:div>
    <w:div w:id="847673208">
      <w:bodyDiv w:val="1"/>
      <w:marLeft w:val="0"/>
      <w:marRight w:val="0"/>
      <w:marTop w:val="0"/>
      <w:marBottom w:val="0"/>
      <w:divBdr>
        <w:top w:val="none" w:sz="0" w:space="0" w:color="auto"/>
        <w:left w:val="none" w:sz="0" w:space="0" w:color="auto"/>
        <w:bottom w:val="none" w:sz="0" w:space="0" w:color="auto"/>
        <w:right w:val="none" w:sz="0" w:space="0" w:color="auto"/>
      </w:divBdr>
    </w:div>
    <w:div w:id="908733240">
      <w:bodyDiv w:val="1"/>
      <w:marLeft w:val="0"/>
      <w:marRight w:val="0"/>
      <w:marTop w:val="0"/>
      <w:marBottom w:val="0"/>
      <w:divBdr>
        <w:top w:val="none" w:sz="0" w:space="0" w:color="auto"/>
        <w:left w:val="none" w:sz="0" w:space="0" w:color="auto"/>
        <w:bottom w:val="none" w:sz="0" w:space="0" w:color="auto"/>
        <w:right w:val="none" w:sz="0" w:space="0" w:color="auto"/>
      </w:divBdr>
    </w:div>
    <w:div w:id="944848339">
      <w:bodyDiv w:val="1"/>
      <w:marLeft w:val="0"/>
      <w:marRight w:val="0"/>
      <w:marTop w:val="0"/>
      <w:marBottom w:val="0"/>
      <w:divBdr>
        <w:top w:val="none" w:sz="0" w:space="0" w:color="auto"/>
        <w:left w:val="none" w:sz="0" w:space="0" w:color="auto"/>
        <w:bottom w:val="none" w:sz="0" w:space="0" w:color="auto"/>
        <w:right w:val="none" w:sz="0" w:space="0" w:color="auto"/>
      </w:divBdr>
    </w:div>
    <w:div w:id="952174989">
      <w:bodyDiv w:val="1"/>
      <w:marLeft w:val="0"/>
      <w:marRight w:val="0"/>
      <w:marTop w:val="0"/>
      <w:marBottom w:val="0"/>
      <w:divBdr>
        <w:top w:val="none" w:sz="0" w:space="0" w:color="auto"/>
        <w:left w:val="none" w:sz="0" w:space="0" w:color="auto"/>
        <w:bottom w:val="none" w:sz="0" w:space="0" w:color="auto"/>
        <w:right w:val="none" w:sz="0" w:space="0" w:color="auto"/>
      </w:divBdr>
      <w:divsChild>
        <w:div w:id="920913579">
          <w:marLeft w:val="0"/>
          <w:marRight w:val="0"/>
          <w:marTop w:val="0"/>
          <w:marBottom w:val="0"/>
          <w:divBdr>
            <w:top w:val="none" w:sz="0" w:space="0" w:color="auto"/>
            <w:left w:val="none" w:sz="0" w:space="0" w:color="auto"/>
            <w:bottom w:val="none" w:sz="0" w:space="0" w:color="auto"/>
            <w:right w:val="none" w:sz="0" w:space="0" w:color="auto"/>
          </w:divBdr>
        </w:div>
        <w:div w:id="1241258579">
          <w:marLeft w:val="0"/>
          <w:marRight w:val="0"/>
          <w:marTop w:val="0"/>
          <w:marBottom w:val="0"/>
          <w:divBdr>
            <w:top w:val="none" w:sz="0" w:space="0" w:color="auto"/>
            <w:left w:val="none" w:sz="0" w:space="0" w:color="auto"/>
            <w:bottom w:val="none" w:sz="0" w:space="0" w:color="auto"/>
            <w:right w:val="none" w:sz="0" w:space="0" w:color="auto"/>
          </w:divBdr>
        </w:div>
        <w:div w:id="658004136">
          <w:marLeft w:val="0"/>
          <w:marRight w:val="0"/>
          <w:marTop w:val="0"/>
          <w:marBottom w:val="0"/>
          <w:divBdr>
            <w:top w:val="none" w:sz="0" w:space="0" w:color="auto"/>
            <w:left w:val="none" w:sz="0" w:space="0" w:color="auto"/>
            <w:bottom w:val="none" w:sz="0" w:space="0" w:color="auto"/>
            <w:right w:val="none" w:sz="0" w:space="0" w:color="auto"/>
          </w:divBdr>
          <w:divsChild>
            <w:div w:id="20940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703">
      <w:bodyDiv w:val="1"/>
      <w:marLeft w:val="0"/>
      <w:marRight w:val="0"/>
      <w:marTop w:val="0"/>
      <w:marBottom w:val="0"/>
      <w:divBdr>
        <w:top w:val="none" w:sz="0" w:space="0" w:color="auto"/>
        <w:left w:val="none" w:sz="0" w:space="0" w:color="auto"/>
        <w:bottom w:val="none" w:sz="0" w:space="0" w:color="auto"/>
        <w:right w:val="none" w:sz="0" w:space="0" w:color="auto"/>
      </w:divBdr>
    </w:div>
    <w:div w:id="981229920">
      <w:bodyDiv w:val="1"/>
      <w:marLeft w:val="0"/>
      <w:marRight w:val="0"/>
      <w:marTop w:val="0"/>
      <w:marBottom w:val="0"/>
      <w:divBdr>
        <w:top w:val="none" w:sz="0" w:space="0" w:color="auto"/>
        <w:left w:val="none" w:sz="0" w:space="0" w:color="auto"/>
        <w:bottom w:val="none" w:sz="0" w:space="0" w:color="auto"/>
        <w:right w:val="none" w:sz="0" w:space="0" w:color="auto"/>
      </w:divBdr>
    </w:div>
    <w:div w:id="996493787">
      <w:bodyDiv w:val="1"/>
      <w:marLeft w:val="0"/>
      <w:marRight w:val="0"/>
      <w:marTop w:val="0"/>
      <w:marBottom w:val="0"/>
      <w:divBdr>
        <w:top w:val="none" w:sz="0" w:space="0" w:color="auto"/>
        <w:left w:val="none" w:sz="0" w:space="0" w:color="auto"/>
        <w:bottom w:val="none" w:sz="0" w:space="0" w:color="auto"/>
        <w:right w:val="none" w:sz="0" w:space="0" w:color="auto"/>
      </w:divBdr>
    </w:div>
    <w:div w:id="1159617748">
      <w:bodyDiv w:val="1"/>
      <w:marLeft w:val="0"/>
      <w:marRight w:val="0"/>
      <w:marTop w:val="0"/>
      <w:marBottom w:val="0"/>
      <w:divBdr>
        <w:top w:val="none" w:sz="0" w:space="0" w:color="auto"/>
        <w:left w:val="none" w:sz="0" w:space="0" w:color="auto"/>
        <w:bottom w:val="none" w:sz="0" w:space="0" w:color="auto"/>
        <w:right w:val="none" w:sz="0" w:space="0" w:color="auto"/>
      </w:divBdr>
      <w:divsChild>
        <w:div w:id="1467115323">
          <w:marLeft w:val="0"/>
          <w:marRight w:val="0"/>
          <w:marTop w:val="0"/>
          <w:marBottom w:val="0"/>
          <w:divBdr>
            <w:top w:val="none" w:sz="0" w:space="0" w:color="auto"/>
            <w:left w:val="none" w:sz="0" w:space="0" w:color="auto"/>
            <w:bottom w:val="none" w:sz="0" w:space="0" w:color="auto"/>
            <w:right w:val="none" w:sz="0" w:space="0" w:color="auto"/>
          </w:divBdr>
        </w:div>
        <w:div w:id="1906212599">
          <w:marLeft w:val="0"/>
          <w:marRight w:val="0"/>
          <w:marTop w:val="0"/>
          <w:marBottom w:val="0"/>
          <w:divBdr>
            <w:top w:val="none" w:sz="0" w:space="0" w:color="auto"/>
            <w:left w:val="none" w:sz="0" w:space="0" w:color="auto"/>
            <w:bottom w:val="none" w:sz="0" w:space="0" w:color="auto"/>
            <w:right w:val="none" w:sz="0" w:space="0" w:color="auto"/>
          </w:divBdr>
        </w:div>
        <w:div w:id="1025866882">
          <w:marLeft w:val="0"/>
          <w:marRight w:val="0"/>
          <w:marTop w:val="0"/>
          <w:marBottom w:val="0"/>
          <w:divBdr>
            <w:top w:val="none" w:sz="0" w:space="0" w:color="auto"/>
            <w:left w:val="none" w:sz="0" w:space="0" w:color="auto"/>
            <w:bottom w:val="none" w:sz="0" w:space="0" w:color="auto"/>
            <w:right w:val="none" w:sz="0" w:space="0" w:color="auto"/>
          </w:divBdr>
          <w:divsChild>
            <w:div w:id="19096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2820">
      <w:bodyDiv w:val="1"/>
      <w:marLeft w:val="0"/>
      <w:marRight w:val="0"/>
      <w:marTop w:val="0"/>
      <w:marBottom w:val="0"/>
      <w:divBdr>
        <w:top w:val="none" w:sz="0" w:space="0" w:color="auto"/>
        <w:left w:val="none" w:sz="0" w:space="0" w:color="auto"/>
        <w:bottom w:val="none" w:sz="0" w:space="0" w:color="auto"/>
        <w:right w:val="none" w:sz="0" w:space="0" w:color="auto"/>
      </w:divBdr>
    </w:div>
    <w:div w:id="1692998788">
      <w:bodyDiv w:val="1"/>
      <w:marLeft w:val="0"/>
      <w:marRight w:val="0"/>
      <w:marTop w:val="0"/>
      <w:marBottom w:val="0"/>
      <w:divBdr>
        <w:top w:val="none" w:sz="0" w:space="0" w:color="auto"/>
        <w:left w:val="none" w:sz="0" w:space="0" w:color="auto"/>
        <w:bottom w:val="none" w:sz="0" w:space="0" w:color="auto"/>
        <w:right w:val="none" w:sz="0" w:space="0" w:color="auto"/>
      </w:divBdr>
    </w:div>
    <w:div w:id="1956981942">
      <w:bodyDiv w:val="1"/>
      <w:marLeft w:val="0"/>
      <w:marRight w:val="0"/>
      <w:marTop w:val="0"/>
      <w:marBottom w:val="0"/>
      <w:divBdr>
        <w:top w:val="none" w:sz="0" w:space="0" w:color="auto"/>
        <w:left w:val="none" w:sz="0" w:space="0" w:color="auto"/>
        <w:bottom w:val="none" w:sz="0" w:space="0" w:color="auto"/>
        <w:right w:val="none" w:sz="0" w:space="0" w:color="auto"/>
      </w:divBdr>
    </w:div>
    <w:div w:id="20484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edsbuildingsociety.co.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pressoffice@leedsbuildingsociet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51D08141CBB459DC09F23A70D3C19" ma:contentTypeVersion="12" ma:contentTypeDescription="Create a new document." ma:contentTypeScope="" ma:versionID="b0844395e19f472b1d75800d0c1139f5">
  <xsd:schema xmlns:xsd="http://www.w3.org/2001/XMLSchema" xmlns:xs="http://www.w3.org/2001/XMLSchema" xmlns:p="http://schemas.microsoft.com/office/2006/metadata/properties" xmlns:ns2="1424dcfd-b6f0-4882-923d-0aef11625b88" xmlns:ns3="5ddbf506-8319-4041-b9af-174146f2d93e" targetNamespace="http://schemas.microsoft.com/office/2006/metadata/properties" ma:root="true" ma:fieldsID="ac96071262cc8493c000501c0ab0dc98" ns2:_="" ns3:_="">
    <xsd:import namespace="1424dcfd-b6f0-4882-923d-0aef11625b88"/>
    <xsd:import namespace="5ddbf506-8319-4041-b9af-174146f2d9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4dcfd-b6f0-4882-923d-0aef11625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270ef1-2d71-4231-9a5e-d441af7278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dbf506-8319-4041-b9af-174146f2d9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982d42-3945-487e-996b-e0039087c277}" ma:internalName="TaxCatchAll" ma:showField="CatchAllData" ma:web="5ddbf506-8319-4041-b9af-174146f2d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4dcfd-b6f0-4882-923d-0aef11625b88">
      <Terms xmlns="http://schemas.microsoft.com/office/infopath/2007/PartnerControls"/>
    </lcf76f155ced4ddcb4097134ff3c332f>
    <TaxCatchAll xmlns="5ddbf506-8319-4041-b9af-174146f2d93e" xsi:nil="true"/>
  </documentManagement>
</p:properties>
</file>

<file path=customXml/itemProps1.xml><?xml version="1.0" encoding="utf-8"?>
<ds:datastoreItem xmlns:ds="http://schemas.openxmlformats.org/officeDocument/2006/customXml" ds:itemID="{2C068F5C-D6BA-4648-9B22-6F33F4400299}"/>
</file>

<file path=customXml/itemProps2.xml><?xml version="1.0" encoding="utf-8"?>
<ds:datastoreItem xmlns:ds="http://schemas.openxmlformats.org/officeDocument/2006/customXml" ds:itemID="{395A61B0-38CF-4096-95C0-FE31E7733D36}"/>
</file>

<file path=customXml/itemProps3.xml><?xml version="1.0" encoding="utf-8"?>
<ds:datastoreItem xmlns:ds="http://schemas.openxmlformats.org/officeDocument/2006/customXml" ds:itemID="{3ECDEAE9-2104-4AC3-9B73-1B2732078E91}"/>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5231</Characters>
  <Application>Microsoft Office Word</Application>
  <DocSecurity>4</DocSecurity>
  <Lines>186</Lines>
  <Paragraphs>115</Paragraphs>
  <ScaleCrop>false</ScaleCrop>
  <HeadingPairs>
    <vt:vector size="2" baseType="variant">
      <vt:variant>
        <vt:lpstr>Title</vt:lpstr>
      </vt:variant>
      <vt:variant>
        <vt:i4>1</vt:i4>
      </vt:variant>
    </vt:vector>
  </HeadingPairs>
  <TitlesOfParts>
    <vt:vector size="1" baseType="lpstr">
      <vt:lpstr/>
    </vt:vector>
  </TitlesOfParts>
  <Company>Leeds Building Society</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Alfie Penfold</dc:creator>
  <cp:lastModifiedBy>Victoria Camidge</cp:lastModifiedBy>
  <cp:revision>2</cp:revision>
  <cp:lastPrinted>2017-08-02T12:43:00Z</cp:lastPrinted>
  <dcterms:created xsi:type="dcterms:W3CDTF">2026-04-14T08:47:00Z</dcterms:created>
  <dcterms:modified xsi:type="dcterms:W3CDTF">2026-04-14T08:47:00Z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4e5b3d-cd74-4692-bcd4-6ee138f3edc7_Enabled">
    <vt:lpwstr>true</vt:lpwstr>
  </property>
  <property fmtid="{D5CDD505-2E9C-101B-9397-08002B2CF9AE}" pid="3" name="MSIP_Label_114e5b3d-cd74-4692-bcd4-6ee138f3edc7_SetDate">
    <vt:lpwstr>2021-10-01T07:56:17Z</vt:lpwstr>
  </property>
  <property fmtid="{D5CDD505-2E9C-101B-9397-08002B2CF9AE}" pid="4" name="MSIP_Label_114e5b3d-cd74-4692-bcd4-6ee138f3edc7_Method">
    <vt:lpwstr>Privileged</vt:lpwstr>
  </property>
  <property fmtid="{D5CDD505-2E9C-101B-9397-08002B2CF9AE}" pid="5" name="MSIP_Label_114e5b3d-cd74-4692-bcd4-6ee138f3edc7_Name">
    <vt:lpwstr>Internal</vt:lpwstr>
  </property>
  <property fmtid="{D5CDD505-2E9C-101B-9397-08002B2CF9AE}" pid="6" name="MSIP_Label_114e5b3d-cd74-4692-bcd4-6ee138f3edc7_SiteId">
    <vt:lpwstr>6e97e4e4-ed40-4c38-8b4d-283573e82080</vt:lpwstr>
  </property>
  <property fmtid="{D5CDD505-2E9C-101B-9397-08002B2CF9AE}" pid="7" name="MSIP_Label_114e5b3d-cd74-4692-bcd4-6ee138f3edc7_ActionId">
    <vt:lpwstr>e16b20ff-ee19-4da1-b9e9-55ab92cf4c24</vt:lpwstr>
  </property>
  <property fmtid="{D5CDD505-2E9C-101B-9397-08002B2CF9AE}" pid="8" name="MSIP_Label_114e5b3d-cd74-4692-bcd4-6ee138f3edc7_ContentBits">
    <vt:lpwstr>0</vt:lpwstr>
  </property>
  <property fmtid="{D5CDD505-2E9C-101B-9397-08002B2CF9AE}" pid="9" name="ContentTypeId">
    <vt:lpwstr>0x010100B4451D08141CBB459DC09F23A70D3C19</vt:lpwstr>
  </property>
</Properties>
</file>